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048BA" w14:textId="77777777" w:rsidR="00D36C3D" w:rsidRPr="00FC2483" w:rsidRDefault="00D36C3D" w:rsidP="00625A25">
      <w:pPr>
        <w:spacing w:after="120" w:line="276" w:lineRule="auto"/>
        <w:contextualSpacing/>
        <w:jc w:val="center"/>
        <w:rPr>
          <w:rFonts w:ascii="Arial" w:hAnsi="Arial" w:cs="Arial"/>
          <w:b/>
          <w:sz w:val="32"/>
        </w:rPr>
      </w:pPr>
      <w:bookmarkStart w:id="0" w:name="_GoBack"/>
      <w:bookmarkEnd w:id="0"/>
      <w:r w:rsidRPr="00FC2483">
        <w:rPr>
          <w:rFonts w:ascii="Arial" w:hAnsi="Arial" w:cs="Arial"/>
          <w:b/>
          <w:sz w:val="32"/>
        </w:rPr>
        <w:t xml:space="preserve">Insert the paper title here [Arial font </w:t>
      </w:r>
      <w:r w:rsidR="00734E3A">
        <w:rPr>
          <w:rFonts w:ascii="Arial" w:hAnsi="Arial" w:cs="Arial"/>
          <w:b/>
          <w:sz w:val="32"/>
        </w:rPr>
        <w:t>1</w:t>
      </w:r>
      <w:r w:rsidRPr="00FC2483">
        <w:rPr>
          <w:rFonts w:ascii="Arial" w:hAnsi="Arial" w:cs="Arial"/>
          <w:b/>
          <w:sz w:val="32"/>
        </w:rPr>
        <w:t xml:space="preserve">6pt, </w:t>
      </w:r>
      <w:r w:rsidR="003F48E0" w:rsidRPr="00FC2483">
        <w:rPr>
          <w:rFonts w:ascii="Arial" w:hAnsi="Arial" w:cs="Arial"/>
          <w:b/>
          <w:sz w:val="32"/>
        </w:rPr>
        <w:t>centre</w:t>
      </w:r>
      <w:r w:rsidRPr="00FC2483">
        <w:rPr>
          <w:rFonts w:ascii="Arial" w:hAnsi="Arial" w:cs="Arial"/>
          <w:b/>
          <w:sz w:val="32"/>
        </w:rPr>
        <w:t xml:space="preserve"> justified]</w:t>
      </w:r>
    </w:p>
    <w:p w14:paraId="4472C9F5" w14:textId="77777777" w:rsidR="00D36C3D" w:rsidRPr="00FC2483" w:rsidRDefault="00D36C3D" w:rsidP="00625A25">
      <w:pPr>
        <w:spacing w:after="120" w:line="276" w:lineRule="auto"/>
        <w:contextualSpacing/>
        <w:jc w:val="center"/>
        <w:rPr>
          <w:rFonts w:ascii="Arial" w:hAnsi="Arial" w:cs="Arial"/>
          <w:b/>
          <w:sz w:val="28"/>
        </w:rPr>
      </w:pPr>
    </w:p>
    <w:p w14:paraId="02BA934D" w14:textId="77777777" w:rsidR="00D36C3D" w:rsidRPr="00734E3A" w:rsidRDefault="00D36C3D" w:rsidP="00625A25">
      <w:pPr>
        <w:spacing w:after="120" w:line="276" w:lineRule="auto"/>
        <w:contextualSpacing/>
        <w:jc w:val="center"/>
        <w:rPr>
          <w:rFonts w:ascii="Arial" w:hAnsi="Arial" w:cs="Arial"/>
          <w:b/>
        </w:rPr>
      </w:pPr>
      <w:r w:rsidRPr="00734E3A">
        <w:rPr>
          <w:rFonts w:ascii="Arial" w:hAnsi="Arial" w:cs="Arial"/>
          <w:b/>
        </w:rPr>
        <w:t>A.B. Author</w:t>
      </w:r>
      <w:r w:rsidRPr="00734E3A">
        <w:rPr>
          <w:rFonts w:ascii="Arial" w:hAnsi="Arial" w:cs="Arial"/>
          <w:b/>
          <w:vertAlign w:val="superscript"/>
        </w:rPr>
        <w:t>1</w:t>
      </w:r>
      <w:r w:rsidRPr="00734E3A">
        <w:rPr>
          <w:rFonts w:ascii="Arial" w:hAnsi="Arial" w:cs="Arial"/>
          <w:b/>
        </w:rPr>
        <w:t xml:space="preserve"> and C.D. Co-Author</w:t>
      </w:r>
      <w:r w:rsidRPr="00734E3A">
        <w:rPr>
          <w:rFonts w:ascii="Arial" w:hAnsi="Arial" w:cs="Arial"/>
          <w:b/>
          <w:vertAlign w:val="superscript"/>
        </w:rPr>
        <w:t>2</w:t>
      </w:r>
      <w:r w:rsidRPr="00734E3A">
        <w:rPr>
          <w:rFonts w:ascii="Arial" w:hAnsi="Arial" w:cs="Arial"/>
          <w:b/>
        </w:rPr>
        <w:t xml:space="preserve"> [</w:t>
      </w:r>
      <w:r w:rsidR="00734E3A" w:rsidRPr="00734E3A">
        <w:rPr>
          <w:rFonts w:ascii="Arial" w:hAnsi="Arial" w:cs="Arial"/>
          <w:b/>
        </w:rPr>
        <w:t>Arial 12pt</w:t>
      </w:r>
      <w:r w:rsidRPr="00734E3A">
        <w:rPr>
          <w:rFonts w:ascii="Arial" w:hAnsi="Arial" w:cs="Arial"/>
          <w:b/>
        </w:rPr>
        <w:t xml:space="preserve">, bold, </w:t>
      </w:r>
      <w:r w:rsidR="003F48E0" w:rsidRPr="00734E3A">
        <w:rPr>
          <w:rFonts w:ascii="Arial" w:hAnsi="Arial" w:cs="Arial"/>
          <w:b/>
        </w:rPr>
        <w:t xml:space="preserve">centre </w:t>
      </w:r>
      <w:r w:rsidRPr="00734E3A">
        <w:rPr>
          <w:rFonts w:ascii="Arial" w:hAnsi="Arial" w:cs="Arial"/>
          <w:b/>
        </w:rPr>
        <w:t>justified]</w:t>
      </w:r>
    </w:p>
    <w:p w14:paraId="2F477671" w14:textId="755FAB5D" w:rsidR="00514D27" w:rsidRPr="00734E3A" w:rsidRDefault="00D36C3D" w:rsidP="00514D27">
      <w:pPr>
        <w:spacing w:after="120" w:line="276" w:lineRule="auto"/>
        <w:contextualSpacing/>
        <w:jc w:val="center"/>
        <w:rPr>
          <w:rFonts w:ascii="Arial" w:hAnsi="Arial" w:cs="Arial"/>
        </w:rPr>
      </w:pPr>
      <w:r w:rsidRPr="00734E3A">
        <w:rPr>
          <w:rFonts w:ascii="Arial" w:hAnsi="Arial" w:cs="Arial"/>
          <w:vertAlign w:val="superscript"/>
        </w:rPr>
        <w:t xml:space="preserve">1 </w:t>
      </w:r>
      <w:r w:rsidRPr="00734E3A">
        <w:rPr>
          <w:rFonts w:ascii="Arial" w:hAnsi="Arial" w:cs="Arial"/>
        </w:rPr>
        <w:t>Affiliation &amp; address here</w:t>
      </w:r>
      <w:r w:rsidR="00514D27">
        <w:rPr>
          <w:rFonts w:ascii="Arial" w:hAnsi="Arial" w:cs="Arial"/>
        </w:rPr>
        <w:t>, e-mai: author:</w:t>
      </w:r>
      <w:r w:rsidR="0023508E">
        <w:rPr>
          <w:rFonts w:ascii="Arial" w:hAnsi="Arial" w:cs="Arial"/>
        </w:rPr>
        <w:t xml:space="preserve"> </w:t>
      </w:r>
      <w:r w:rsidR="00514D27">
        <w:rPr>
          <w:rFonts w:ascii="Arial" w:hAnsi="Arial" w:cs="Arial"/>
        </w:rPr>
        <w:t>xxxyyy@ab.bb</w:t>
      </w:r>
    </w:p>
    <w:p w14:paraId="4AB1958A" w14:textId="14EBA5E1" w:rsidR="00D36C3D" w:rsidRPr="00734E3A" w:rsidRDefault="00514D27" w:rsidP="00625A25">
      <w:pPr>
        <w:spacing w:after="120" w:line="276" w:lineRule="auto"/>
        <w:contextualSpacing/>
        <w:jc w:val="center"/>
        <w:rPr>
          <w:rFonts w:ascii="Arial" w:hAnsi="Arial" w:cs="Arial"/>
        </w:rPr>
      </w:pPr>
      <w:r>
        <w:rPr>
          <w:rFonts w:ascii="Arial" w:hAnsi="Arial" w:cs="Arial"/>
        </w:rPr>
        <w:t>-</w:t>
      </w:r>
      <w:r w:rsidR="00D36C3D" w:rsidRPr="00734E3A">
        <w:rPr>
          <w:rFonts w:ascii="Arial" w:hAnsi="Arial" w:cs="Arial"/>
        </w:rPr>
        <w:t xml:space="preserve"> [Arial 11pt, </w:t>
      </w:r>
      <w:r w:rsidR="00734E3A" w:rsidRPr="00734E3A">
        <w:rPr>
          <w:rFonts w:ascii="Arial" w:hAnsi="Arial" w:cs="Arial"/>
        </w:rPr>
        <w:t>centre</w:t>
      </w:r>
      <w:r w:rsidR="00D36C3D" w:rsidRPr="00734E3A">
        <w:rPr>
          <w:rFonts w:ascii="Arial" w:hAnsi="Arial" w:cs="Arial"/>
        </w:rPr>
        <w:t xml:space="preserve"> justified]</w:t>
      </w:r>
    </w:p>
    <w:p w14:paraId="1A47A7A5" w14:textId="77777777" w:rsidR="00514D27" w:rsidRPr="00734E3A" w:rsidRDefault="00D36C3D" w:rsidP="00514D27">
      <w:pPr>
        <w:spacing w:after="120" w:line="276" w:lineRule="auto"/>
        <w:contextualSpacing/>
        <w:jc w:val="center"/>
        <w:rPr>
          <w:rFonts w:ascii="Arial" w:hAnsi="Arial" w:cs="Arial"/>
        </w:rPr>
      </w:pPr>
      <w:r w:rsidRPr="00734E3A">
        <w:rPr>
          <w:rFonts w:ascii="Arial" w:hAnsi="Arial" w:cs="Arial"/>
          <w:vertAlign w:val="superscript"/>
        </w:rPr>
        <w:t>2</w:t>
      </w:r>
      <w:r w:rsidRPr="00734E3A">
        <w:rPr>
          <w:rFonts w:ascii="Arial" w:hAnsi="Arial" w:cs="Arial"/>
        </w:rPr>
        <w:t xml:space="preserve"> Other affiliation &amp; address</w:t>
      </w:r>
      <w:r w:rsidR="00514D27">
        <w:rPr>
          <w:rFonts w:ascii="Arial" w:hAnsi="Arial" w:cs="Arial"/>
        </w:rPr>
        <w:t>, author:xxxyyy@ab.bb</w:t>
      </w:r>
    </w:p>
    <w:p w14:paraId="59C858ED" w14:textId="77777777" w:rsidR="00D36C3D" w:rsidRPr="00734E3A" w:rsidRDefault="00D36C3D" w:rsidP="00625A25">
      <w:pPr>
        <w:spacing w:after="120" w:line="276" w:lineRule="auto"/>
        <w:contextualSpacing/>
        <w:rPr>
          <w:rFonts w:ascii="Arial Narrow" w:hAnsi="Arial Narrow" w:cs="Arial"/>
        </w:rPr>
      </w:pPr>
    </w:p>
    <w:p w14:paraId="760869CA" w14:textId="77777777" w:rsidR="00D36C3D" w:rsidRPr="00734E3A" w:rsidRDefault="00D36C3D" w:rsidP="00625A25">
      <w:pPr>
        <w:spacing w:after="120" w:line="276" w:lineRule="auto"/>
        <w:contextualSpacing/>
        <w:rPr>
          <w:rFonts w:ascii="Arial" w:hAnsi="Arial" w:cs="Arial"/>
          <w:b/>
          <w:sz w:val="28"/>
        </w:rPr>
      </w:pPr>
      <w:r w:rsidRPr="00734E3A">
        <w:rPr>
          <w:rFonts w:ascii="Arial" w:hAnsi="Arial" w:cs="Arial"/>
          <w:b/>
          <w:sz w:val="28"/>
        </w:rPr>
        <w:t xml:space="preserve">Abstract [Arial </w:t>
      </w:r>
      <w:r w:rsidR="00734E3A">
        <w:rPr>
          <w:rFonts w:ascii="Arial" w:hAnsi="Arial" w:cs="Arial"/>
          <w:b/>
          <w:sz w:val="28"/>
        </w:rPr>
        <w:t>14</w:t>
      </w:r>
      <w:r w:rsidRPr="00734E3A">
        <w:rPr>
          <w:rFonts w:ascii="Arial" w:hAnsi="Arial" w:cs="Arial"/>
          <w:b/>
          <w:sz w:val="28"/>
        </w:rPr>
        <w:t>pt, left justified]</w:t>
      </w:r>
    </w:p>
    <w:p w14:paraId="3BCF6797" w14:textId="77777777" w:rsidR="00D36C3D" w:rsidRPr="004405F4" w:rsidRDefault="00D36C3D" w:rsidP="00625A25">
      <w:pPr>
        <w:spacing w:after="120" w:line="276" w:lineRule="auto"/>
        <w:jc w:val="both"/>
        <w:rPr>
          <w:rFonts w:ascii="Arial Narrow" w:hAnsi="Arial Narrow" w:cs="Arial"/>
          <w:sz w:val="18"/>
        </w:rPr>
      </w:pPr>
      <w:r w:rsidRPr="004405F4">
        <w:rPr>
          <w:rFonts w:ascii="Arial" w:hAnsi="Arial" w:cs="Arial"/>
          <w:sz w:val="18"/>
        </w:rPr>
        <w:t xml:space="preserve">Please provide a brief (200 words max.), but informative abstract of the contents of the paper. The abstract should be created by overwriting the contents of this specially formatted table cell. This main body of the abstract uses the typeface </w:t>
      </w:r>
      <w:r w:rsidR="00625A25" w:rsidRPr="004405F4">
        <w:rPr>
          <w:rFonts w:ascii="Arial" w:hAnsi="Arial" w:cs="Arial"/>
          <w:sz w:val="18"/>
        </w:rPr>
        <w:t xml:space="preserve">Arial </w:t>
      </w:r>
      <w:r w:rsidR="004405F4" w:rsidRPr="004405F4">
        <w:rPr>
          <w:rFonts w:ascii="Arial" w:hAnsi="Arial" w:cs="Arial"/>
          <w:sz w:val="18"/>
        </w:rPr>
        <w:t>9pt</w:t>
      </w:r>
      <w:r w:rsidRPr="004405F4">
        <w:rPr>
          <w:rFonts w:ascii="Arial" w:hAnsi="Arial" w:cs="Arial"/>
          <w:sz w:val="18"/>
        </w:rPr>
        <w:t xml:space="preserve">, with 1.15 line spacing, and is fully justified. Please provide up to three keywords. [Arial </w:t>
      </w:r>
      <w:r w:rsidR="00625A25" w:rsidRPr="004405F4">
        <w:rPr>
          <w:rFonts w:ascii="Arial" w:hAnsi="Arial" w:cs="Arial"/>
          <w:sz w:val="18"/>
        </w:rPr>
        <w:t>9</w:t>
      </w:r>
      <w:r w:rsidRPr="004405F4">
        <w:rPr>
          <w:rFonts w:ascii="Arial" w:hAnsi="Arial" w:cs="Arial"/>
          <w:sz w:val="18"/>
        </w:rPr>
        <w:t xml:space="preserve"> pt, full justified</w:t>
      </w:r>
      <w:r w:rsidRPr="004405F4">
        <w:rPr>
          <w:rFonts w:ascii="Arial Narrow" w:hAnsi="Arial Narrow" w:cs="Arial"/>
          <w:sz w:val="18"/>
        </w:rPr>
        <w:t>]</w:t>
      </w:r>
    </w:p>
    <w:p w14:paraId="1EC5D36A" w14:textId="77777777" w:rsidR="00D36C3D" w:rsidRPr="00976035" w:rsidRDefault="00D36C3D" w:rsidP="00625A25">
      <w:pPr>
        <w:spacing w:after="120" w:line="276" w:lineRule="auto"/>
        <w:rPr>
          <w:rFonts w:ascii="Arial" w:hAnsi="Arial" w:cs="Arial"/>
          <w:i/>
          <w:sz w:val="18"/>
        </w:rPr>
      </w:pPr>
      <w:r w:rsidRPr="00976035">
        <w:rPr>
          <w:rFonts w:ascii="Arial" w:hAnsi="Arial" w:cs="Arial"/>
          <w:b/>
          <w:i/>
          <w:sz w:val="18"/>
        </w:rPr>
        <w:t xml:space="preserve">Keywords: </w:t>
      </w:r>
      <w:r w:rsidRPr="00976035">
        <w:rPr>
          <w:rFonts w:ascii="Arial" w:hAnsi="Arial" w:cs="Arial"/>
          <w:i/>
          <w:sz w:val="18"/>
        </w:rPr>
        <w:t>First Keyword, Second Keyword, Third Keyword. [Arial 9pt, italic, left justified]</w:t>
      </w:r>
    </w:p>
    <w:p w14:paraId="264C4EE5" w14:textId="77777777" w:rsidR="00D36C3D" w:rsidRDefault="00D36C3D" w:rsidP="00625A25">
      <w:pPr>
        <w:spacing w:after="120" w:line="276" w:lineRule="auto"/>
        <w:contextualSpacing/>
        <w:rPr>
          <w:rFonts w:ascii="Arial Narrow" w:hAnsi="Arial Narrow" w:cs="Arial"/>
          <w:i/>
        </w:rPr>
      </w:pPr>
    </w:p>
    <w:p w14:paraId="587B624F" w14:textId="77777777" w:rsidR="00D36C3D" w:rsidRPr="00734E3A" w:rsidRDefault="00D36C3D" w:rsidP="00625A25">
      <w:pPr>
        <w:spacing w:after="120" w:line="276" w:lineRule="auto"/>
        <w:contextualSpacing/>
        <w:rPr>
          <w:rFonts w:ascii="Arial" w:hAnsi="Arial" w:cs="Arial"/>
          <w:b/>
          <w:sz w:val="28"/>
        </w:rPr>
      </w:pPr>
      <w:r w:rsidRPr="00734E3A">
        <w:rPr>
          <w:rFonts w:ascii="Arial" w:hAnsi="Arial" w:cs="Arial"/>
          <w:b/>
          <w:sz w:val="28"/>
        </w:rPr>
        <w:t>1. Introduction</w:t>
      </w:r>
    </w:p>
    <w:p w14:paraId="1077569B" w14:textId="0F78DCBB" w:rsidR="00C958A4" w:rsidRPr="004405F4" w:rsidRDefault="00C958A4" w:rsidP="00625A25">
      <w:pPr>
        <w:spacing w:after="120" w:line="276" w:lineRule="auto"/>
        <w:contextualSpacing/>
        <w:jc w:val="both"/>
        <w:rPr>
          <w:rFonts w:ascii="Arial" w:hAnsi="Arial" w:cs="Arial"/>
          <w:sz w:val="18"/>
        </w:rPr>
      </w:pPr>
      <w:r w:rsidRPr="004405F4">
        <w:rPr>
          <w:rFonts w:ascii="Arial" w:hAnsi="Arial" w:cs="Arial"/>
          <w:sz w:val="18"/>
        </w:rPr>
        <w:t xml:space="preserve">Manuscripts </w:t>
      </w:r>
      <w:r w:rsidR="00262B95">
        <w:rPr>
          <w:rFonts w:ascii="Arial" w:hAnsi="Arial" w:cs="Arial"/>
          <w:sz w:val="18"/>
        </w:rPr>
        <w:t xml:space="preserve">length is not limited but keeping the manuscript </w:t>
      </w:r>
      <w:r w:rsidR="00D30DBB">
        <w:rPr>
          <w:rFonts w:ascii="Arial" w:hAnsi="Arial" w:cs="Arial"/>
          <w:sz w:val="18"/>
        </w:rPr>
        <w:t xml:space="preserve">to </w:t>
      </w:r>
      <w:r w:rsidRPr="004405F4">
        <w:rPr>
          <w:rFonts w:ascii="Arial" w:hAnsi="Arial" w:cs="Arial"/>
          <w:sz w:val="18"/>
        </w:rPr>
        <w:t xml:space="preserve">six (6) pages </w:t>
      </w:r>
      <w:r w:rsidR="00D30DBB">
        <w:rPr>
          <w:rFonts w:ascii="Arial" w:hAnsi="Arial" w:cs="Arial"/>
          <w:sz w:val="18"/>
        </w:rPr>
        <w:t xml:space="preserve">is recommended using this </w:t>
      </w:r>
      <w:r w:rsidRPr="004405F4">
        <w:rPr>
          <w:rFonts w:ascii="Arial" w:hAnsi="Arial" w:cs="Arial"/>
          <w:sz w:val="18"/>
        </w:rPr>
        <w:t>single-column template. To assist the editing process, authors are strongly encouraged to prepare their manuscripts by overwriting this template directly.</w:t>
      </w:r>
    </w:p>
    <w:p w14:paraId="4D422CFC" w14:textId="77777777" w:rsidR="00C958A4" w:rsidRPr="004405F4" w:rsidRDefault="00C958A4" w:rsidP="00625A25">
      <w:pPr>
        <w:spacing w:after="120" w:line="276" w:lineRule="auto"/>
        <w:contextualSpacing/>
        <w:jc w:val="both"/>
        <w:rPr>
          <w:rFonts w:ascii="Arial" w:hAnsi="Arial" w:cs="Arial"/>
          <w:sz w:val="18"/>
        </w:rPr>
      </w:pPr>
      <w:r w:rsidRPr="004405F4">
        <w:rPr>
          <w:rFonts w:ascii="Arial" w:hAnsi="Arial" w:cs="Arial"/>
          <w:sz w:val="18"/>
        </w:rPr>
        <w:t>The template is set for B</w:t>
      </w:r>
      <w:r w:rsidR="00976035" w:rsidRPr="004405F4">
        <w:rPr>
          <w:rFonts w:ascii="Arial" w:hAnsi="Arial" w:cs="Arial"/>
          <w:sz w:val="18"/>
        </w:rPr>
        <w:t>5 paper</w:t>
      </w:r>
      <w:r w:rsidRPr="004405F4">
        <w:rPr>
          <w:rFonts w:ascii="Arial" w:hAnsi="Arial" w:cs="Arial"/>
          <w:sz w:val="18"/>
        </w:rPr>
        <w:t xml:space="preserve"> with margins of 2.5 cm all round. The main body is set in </w:t>
      </w:r>
      <w:r w:rsidR="00976035" w:rsidRPr="004405F4">
        <w:rPr>
          <w:rFonts w:ascii="Arial" w:hAnsi="Arial" w:cs="Arial"/>
          <w:sz w:val="18"/>
        </w:rPr>
        <w:t>single column</w:t>
      </w:r>
      <w:r w:rsidRPr="004405F4">
        <w:rPr>
          <w:rFonts w:ascii="Arial" w:hAnsi="Arial" w:cs="Arial"/>
          <w:sz w:val="18"/>
        </w:rPr>
        <w:t>.</w:t>
      </w:r>
    </w:p>
    <w:p w14:paraId="7EC48D9E" w14:textId="77777777" w:rsidR="00C958A4" w:rsidRPr="004405F4" w:rsidRDefault="00C958A4" w:rsidP="00625A25">
      <w:pPr>
        <w:spacing w:after="120" w:line="276" w:lineRule="auto"/>
        <w:contextualSpacing/>
        <w:jc w:val="both"/>
        <w:rPr>
          <w:rFonts w:ascii="Arial" w:hAnsi="Arial" w:cs="Arial"/>
          <w:sz w:val="18"/>
        </w:rPr>
      </w:pPr>
      <w:r w:rsidRPr="004405F4">
        <w:rPr>
          <w:rFonts w:ascii="Arial" w:hAnsi="Arial" w:cs="Arial"/>
          <w:sz w:val="18"/>
        </w:rPr>
        <w:t xml:space="preserve">This main body text should use the </w:t>
      </w:r>
      <w:r w:rsidR="00976035" w:rsidRPr="004405F4">
        <w:rPr>
          <w:rFonts w:ascii="Arial" w:hAnsi="Arial" w:cs="Arial"/>
          <w:sz w:val="18"/>
        </w:rPr>
        <w:t>Arial 10pt font</w:t>
      </w:r>
      <w:r w:rsidRPr="004405F4">
        <w:rPr>
          <w:rFonts w:ascii="Arial" w:hAnsi="Arial" w:cs="Arial"/>
          <w:sz w:val="18"/>
        </w:rPr>
        <w:t>. It should be fully justified (i.e. on both left- and right-hand sides), and should have 1.15 line spacing, and zero spacing before and after paragraphs.</w:t>
      </w:r>
    </w:p>
    <w:p w14:paraId="5579F0F1" w14:textId="77777777" w:rsidR="00C958A4" w:rsidRPr="004405F4" w:rsidRDefault="00C958A4" w:rsidP="00625A25">
      <w:pPr>
        <w:spacing w:after="120" w:line="276" w:lineRule="auto"/>
        <w:contextualSpacing/>
        <w:jc w:val="both"/>
        <w:rPr>
          <w:rFonts w:ascii="Arial" w:hAnsi="Arial" w:cs="Arial"/>
          <w:sz w:val="18"/>
        </w:rPr>
      </w:pPr>
      <w:r w:rsidRPr="004405F4">
        <w:rPr>
          <w:rFonts w:ascii="Arial" w:hAnsi="Arial" w:cs="Arial"/>
          <w:sz w:val="18"/>
        </w:rPr>
        <w:t xml:space="preserve">The opening of the first paragraph of any section or subsection, like the one above, should not be </w:t>
      </w:r>
      <w:r w:rsidR="00976035" w:rsidRPr="004405F4">
        <w:rPr>
          <w:rFonts w:ascii="Arial" w:hAnsi="Arial" w:cs="Arial"/>
          <w:sz w:val="18"/>
        </w:rPr>
        <w:t>indented.</w:t>
      </w:r>
      <w:r w:rsidRPr="004405F4">
        <w:rPr>
          <w:rFonts w:ascii="Arial" w:hAnsi="Arial" w:cs="Arial"/>
          <w:sz w:val="18"/>
        </w:rPr>
        <w:t xml:space="preserve"> A single hard return should be inserted between the end of one section and the heading of the next section.</w:t>
      </w:r>
    </w:p>
    <w:p w14:paraId="421D21D8" w14:textId="1466B160" w:rsidR="00C958A4" w:rsidRPr="004405F4" w:rsidRDefault="00C958A4" w:rsidP="00625A25">
      <w:pPr>
        <w:spacing w:after="120" w:line="276" w:lineRule="auto"/>
        <w:jc w:val="both"/>
        <w:rPr>
          <w:rFonts w:ascii="Arial" w:hAnsi="Arial" w:cs="Arial"/>
          <w:sz w:val="18"/>
        </w:rPr>
      </w:pPr>
      <w:r w:rsidRPr="004405F4">
        <w:rPr>
          <w:rFonts w:ascii="Arial" w:hAnsi="Arial" w:cs="Arial"/>
          <w:sz w:val="18"/>
        </w:rPr>
        <w:t>References should be provided in a numbered list at the end of the manuscript. Citations of references within the body of the manuscript should be made using square brackets, e.g.</w:t>
      </w:r>
      <w:r w:rsidR="009552D2">
        <w:rPr>
          <w:rFonts w:ascii="Arial" w:hAnsi="Arial" w:cs="Arial"/>
          <w:sz w:val="18"/>
        </w:rPr>
        <w:t xml:space="preserve"> </w:t>
      </w:r>
      <w:r w:rsidR="009552D2">
        <w:rPr>
          <w:rFonts w:ascii="Arial" w:hAnsi="Arial" w:cs="Arial"/>
          <w:sz w:val="18"/>
        </w:rPr>
        <w:fldChar w:fldCharType="begin" w:fldLock="1"/>
      </w:r>
      <w:r w:rsidR="00AC7F0E">
        <w:rPr>
          <w:rFonts w:ascii="Arial" w:hAnsi="Arial" w:cs="Arial"/>
          <w:sz w:val="18"/>
        </w:rPr>
        <w:instrText>ADDIN CSL_CITATION { "citationItems" : [ { "id" : "ITEM-1", "itemData" : { "DOI" : "10.3390/technologies5010003", "ISBN" : "4603610165", "ISSN" : "2227-7080", "abstract" : "The current paper aims to review tooling life span, failure modes and models in cold microforming processes. As there is nearly no information available on tool-life for microforming the starting point was conventional cold forming. In cold forming common failures are (1) over stressing of the tool; (2) abrasive wear; (3) galling or adhesive wear, and (4) fatigue failure. The large variation in tool life observed in production and how to predict this was reviewed as this is important to the viability of microforming based on that the tooling cost takes a higher portion of the part cost. Anisotropic properties of the tool materials affect tool life span and depend on both the as-received and in-service conditions. It was concluded that preconditioning of the tool surface, and coating are important to control wear and fatigue. Properly managed, the detrimental effects from surface particles can be reduced. Under high stress low-cycle fatigue conditions, fatigue failure form internal microstructures and inclusions are common. To improve abrasive wear resistance larger carbides are commonly the solution which will have a negative impact on tooling life as these tend to be the root cause of fatigue failures. This has significant impact on cold microforming.", "author" : [ { "dropping-particle" : "", "family" : "Jarfors", "given" : "Anders", "non-dropping-particle" : "", "parse-names" : false, "suffix" : "" }, { "dropping-particle" : "", "family" : "Castagne", "given" : "Sylvie", "non-dropping-particle" : "", "parse-names" : false, "suffix" : "" }, { "dropping-particle" : "", "family" : "Danno", "given" : "Atsushi", "non-dropping-particle" : "", "parse-names" : false, "suffix" : "" }, { "dropping-particle" : "", "family" : "Zhang", "given" : "Xinping", "non-dropping-particle" : "", "parse-names" : false, "suffix" : "" } ], "container-title" : "Technologies", "id" : "ITEM-1", "issued" : { "date-parts" : [ [ "2016" ] ] }, "title" : "Tool Wear and Life Span Variations in Cold Forming Operations and Their Implications in Microforming", "type" : "article-journal" }, "uris" : [ "http://www.mendeley.com/documents/?uuid=0fbe99eb-5d69-4d6e-8832-192df3d49047" ] } ], "mendeley" : { "formattedCitation" : "[1]", "plainTextFormattedCitation" : "[1]", "previouslyFormattedCitation" : "[1]" }, "properties" : { "noteIndex" : 0 }, "schema" : "https://github.com/citation-style-language/schema/raw/master/csl-citation.json" }</w:instrText>
      </w:r>
      <w:r w:rsidR="009552D2">
        <w:rPr>
          <w:rFonts w:ascii="Arial" w:hAnsi="Arial" w:cs="Arial"/>
          <w:sz w:val="18"/>
        </w:rPr>
        <w:fldChar w:fldCharType="separate"/>
      </w:r>
      <w:r w:rsidR="009552D2" w:rsidRPr="009552D2">
        <w:rPr>
          <w:rFonts w:ascii="Arial" w:hAnsi="Arial" w:cs="Arial"/>
          <w:noProof/>
          <w:sz w:val="18"/>
        </w:rPr>
        <w:t>[1]</w:t>
      </w:r>
      <w:r w:rsidR="009552D2">
        <w:rPr>
          <w:rFonts w:ascii="Arial" w:hAnsi="Arial" w:cs="Arial"/>
          <w:sz w:val="18"/>
        </w:rPr>
        <w:fldChar w:fldCharType="end"/>
      </w:r>
      <w:r w:rsidR="00AC7F0E">
        <w:rPr>
          <w:rFonts w:ascii="Arial" w:hAnsi="Arial" w:cs="Arial"/>
          <w:sz w:val="18"/>
        </w:rPr>
        <w:t xml:space="preserve"> or </w:t>
      </w:r>
      <w:r w:rsidR="00AC7F0E">
        <w:rPr>
          <w:rFonts w:ascii="Arial" w:hAnsi="Arial" w:cs="Arial"/>
          <w:sz w:val="18"/>
        </w:rPr>
        <w:fldChar w:fldCharType="begin" w:fldLock="1"/>
      </w:r>
      <w:r w:rsidR="00E33D86">
        <w:rPr>
          <w:rFonts w:ascii="Arial" w:hAnsi="Arial" w:cs="Arial"/>
          <w:sz w:val="18"/>
        </w:rPr>
        <w:instrText>ADDIN CSL_CITATION { "citationItems" : [ { "id" : "ITEM-1", "itemData" : { "DOI" : "10.1007/s11665-016-2102-8", "ISSN" : "15441024", "abstract" : "\u00a9 2016, ASM International.The relation between microstructural inhomogeneity and thermal conductivity of a rheocast component manufactured from two different aluminum alloys was investigated. The formation of two different primary \u03b1-Al particles was observed and related to multistage solidification process during slurry preparation and die cavity filling process. The microstructural inhomogeneity of the component was quantified as the fraction of \u03b11-Al particles in the primary Al phase. A high fraction of coarse solute-lean \u03b11-Al particles in the primary Al phase caused a higher thermal conductivity of the component in the near-to-gate region. A variation in thermal conductivity through the rheocast component of 10% was discovered. The effect of an inhomogeneous temperature-dependent thermal conductivity on the thermal performance of a large rheocast heatsink for electronics cooling in an operation environment was studied by means of simulation. Design guidelines were developed to account for the thermal performance of heatsinks with inhomogeneous thermal conductivity, as caused by the rheocasting process. Under the modeling assumptions, the simulation results showed over 2.5% improvement in heatsink thermal resistance when the higher conductivity near-to-gate region was located at the top of the heatsink. Assuming homogeneous thermo-physical properties in a rheocast heatsink may lead to greater than 3.5% error in the estimation of maximum thermal resistance of the heatsink. The variation in thermal conductivity within a large rheocast heatsink was found to be important for obtaining of a robust component design.", "author" : [ { "dropping-particle" : "", "family" : "Payandeh", "given" : "M.", "non-dropping-particle" : "", "parse-names" : false, "suffix" : "" }, { "dropping-particle" : "", "family" : "Belov", "given" : "I.", "non-dropping-particle" : "", "parse-names" : false, "suffix" : "" }, { "dropping-particle" : "", "family" : "Jarfors", "given" : "A.E.W.", "non-dropping-particle" : "", "parse-names" : false, "suffix" : "" }, { "dropping-particle" : "", "family" : "Wess\u00e9n", "given" : "M.", "non-dropping-particle" : "", "parse-names" : false, "suffix" : "" } ], "container-title" : "Journal of Materials Engineering and Performance", "id" : "ITEM-1", "issue" : "6", "issued" : { "date-parts" : [ [ "2016" ] ] }, "title" : "Effect of Material Inhomogeneity on Thermal Performance of a Rheocast Aluminum Heatsink for Electronics Cooling", "type" : "article-journal", "volume" : "25" }, "uris" : [ "http://www.mendeley.com/documents/?uuid=0588435b-0622-4dc6-b725-c7cce690a9d5" ] }, { "id" : "ITEM-2", "itemData" : { "DOI" : "10.1016/j.matdes.2015.07.084", "ISSN" : "02641275", "abstract" : "\u00a9 2015 Elsevier Ltd. In this study the high temperature tensile deformation behavior of a commercial Al-Si-Cu-Mg cast alloy was investigated. The alloy was cast with two different cooling rates which resulted in average secondary dendrite arm spacing of 10 and 25\u03bcm, which is typical of the microstructure scale obtained from high pressure die casting and gravity die casting. Tensile tests were performed at different strain rates (10 &lt; sup &gt; -4 &lt; /sup &gt; s &lt; sup &gt; -1 &lt; /sup &gt;  to 10 &lt; sup &gt; -1 &lt; /sup &gt; s &lt; sup &gt; -1 &lt; /sup &gt; ) and over a wide temperature range from ambient temperature to 500\u00b0C. The fine microstructure had superior tensile strength and ductility compared to the coarse microstructure at any given temperature. The coarse microstructure showed brittle fracture up to 300\u00b0C; the fracture mode in the fine microstructure was fully ductile above 200\u00b0C. The fraction of damaged particles was increased by raising the temperature and/or by microstructure coarsening. Cracks arising from damaged particles in the coarse microstructure were linked in a transgranular-dominated fashion even at 500\u00b0C. However, in the fine microstructure alloy the inter-dendritic fracture path was more prevalent. When the temperature was raised to 300\u00b0C, the concentration of alloying elements in the dendrites changed. The dissolution rates of Cu- and Mg-bearing phases were higher in the fine microstructure.", "author" : [ { "dropping-particle" : "", "family" : "Zamani", "given" : "Mohammadreza", "non-dropping-particle" : "", "parse-names" : false, "suffix" : "" }, { "dropping-particle" : "", "family" : "Seifeddine", "given" : "Salem", "non-dropping-particle" : "", "parse-names" : false, "suffix" : "" }, { "dropping-particle" : "", "family" : "Jarfors", "given" : "Anders E.W. W A.E.W.", "non-dropping-particle" : "", "parse-names" : false, "suffix" : "" } ], "container-title" : "Materials &amp; Design", "id" : "ITEM-2", "issued" : { "date-parts" : [ [ "2015" ] ] }, "page" : "361-370", "publisher" : "Elsevier Ltd", "title" : "High temperature tensile deformation behavior and failure mechanisms of an Al\u2013Si\u2013Cu\u2013Mg cast alloy \u2014 The microstructural scale effect", "type" : "article-journal", "volume" : "86" }, "uris" : [ "http://www.mendeley.com/documents/?uuid=5a7b60bb-2da1-46ec-9da8-010507488972" ] } ], "mendeley" : { "formattedCitation" : "[2], [3]", "plainTextFormattedCitation" : "[2], [3]", "previouslyFormattedCitation" : "[2], [3]" }, "properties" : { "noteIndex" : 0 }, "schema" : "https://github.com/citation-style-language/schema/raw/master/csl-citation.json" }</w:instrText>
      </w:r>
      <w:r w:rsidR="00AC7F0E">
        <w:rPr>
          <w:rFonts w:ascii="Arial" w:hAnsi="Arial" w:cs="Arial"/>
          <w:sz w:val="18"/>
        </w:rPr>
        <w:fldChar w:fldCharType="separate"/>
      </w:r>
      <w:r w:rsidR="00AC7F0E" w:rsidRPr="00AC7F0E">
        <w:rPr>
          <w:rFonts w:ascii="Arial" w:hAnsi="Arial" w:cs="Arial"/>
          <w:noProof/>
          <w:sz w:val="18"/>
        </w:rPr>
        <w:t>[2], [3]</w:t>
      </w:r>
      <w:r w:rsidR="00AC7F0E">
        <w:rPr>
          <w:rFonts w:ascii="Arial" w:hAnsi="Arial" w:cs="Arial"/>
          <w:sz w:val="18"/>
        </w:rPr>
        <w:fldChar w:fldCharType="end"/>
      </w:r>
      <w:r w:rsidR="00E33D86">
        <w:rPr>
          <w:rFonts w:ascii="Arial" w:hAnsi="Arial" w:cs="Arial"/>
          <w:sz w:val="18"/>
        </w:rPr>
        <w:t xml:space="preserve"> or </w:t>
      </w:r>
      <w:r w:rsidR="00E33D86">
        <w:rPr>
          <w:rFonts w:ascii="Arial" w:hAnsi="Arial" w:cs="Arial"/>
          <w:sz w:val="18"/>
        </w:rPr>
        <w:fldChar w:fldCharType="begin" w:fldLock="1"/>
      </w:r>
      <w:r w:rsidR="000E7E4F">
        <w:rPr>
          <w:rFonts w:ascii="Arial" w:hAnsi="Arial" w:cs="Arial"/>
          <w:sz w:val="18"/>
        </w:rPr>
        <w:instrText>ADDIN CSL_CITATION { "citationItems" : [ { "id" : "ITEM-1", "itemData" : { "DOI" : "10.1063/1.3552472", "ISBN" : "9780735408715", "ISSN" : "0094243X 15517616", "abstract" : "Conventional superplastic forming (SPF) has been modified to increase the productivity and reduce some of the drawbacks, such as high forming temperature and high percentage thinning, to suit the automotive industries. One of the modifications was to combine between the conventional SPF and the use of a mechanical preformed blank to form the non-superplastic grade aluminum alloy (AA5083-O). The requirement of high temperature usually results in microstructural defects during forming process. In this paper, finite element modeling was adopted to investigate the superplastic-like forming process using the non-isothermal heating system. In the simulation, two phases (mechanical pre-forming and gas blow for ming) of the process were conducted under different temperatures, where the material was mechanically drawn into the die cavity at 200\u00b0C in the first phase, and it formed with gas pressure applied at a global temperature increasing from 400\u00b0C to 500\u00b0C. Because of the non-isothermal heating of material, it was found that it had enough ductility to flow more easily in the specific zones (die corners and radius). Additionally, FEM results showed that a better formed part can be obtained by the increasing temperature forming, compared to the stable temperature phase. \u00a9 2010 American Institute of Physics.", "author" : [ { "dropping-particle" : "", "family" : "Liu", "given" : "J.", "non-dropping-particle" : "", "parse-names" : false, "suffix" : "" }, { "dropping-particle" : "", "family" : "Tan", "given" : "M.-J.", "non-dropping-particle" : "", "parse-names" : false, "suffix" : "" }, { "dropping-particle" : "", "family" : "Castagne", "given" : "S.", "non-dropping-particle" : "", "parse-names" : false, "suffix" : "" }, { "dropping-particle" : "", "family" : "Aue-U-Lan", "given" : "Y.", "non-dropping-particle" : "", "parse-names" : false, "suffix" : "" }, { "dropping-particle" : "", "family" : "Jarfors", "given" : "A.E.W.", "non-dropping-particle" : "", "parse-names" : false, "suffix" : "" }, { "dropping-particle" : "", "family" : "Fong", "given" : "K.-S.", "non-dropping-particle" : "", "parse-names" : false, "suffix" : "" }, { "dropping-particle" : "", "family" : "Bayraktar", "given" : "E.", "non-dropping-particle" : "", "parse-names" : false, "suffix" : "" } ], "container-title" : "AIP Conference Proceedings", "id" : "ITEM-1", "issued" : { "date-parts" : [ [ "2010" ] ] }, "title" : "Finite element modeling of a non-isothermal superplastic-like forming process", "type" : "paper-conference", "volume" : "1315" }, "uris" : [ "http://www.mendeley.com/documents/?uuid=e84faedf-2165-3474-9845-cfce46347c27" ] }, { "id" : "ITEM-2", "itemData" : { "DOI" : "10.1016/j.msea.2017.10.081", "ISSN" : "09215093", "abstract" : "\u00a9 2017 Elsevier B.V. A dislocation density-based constitutive model, including effects of microstructure scale and temperature, was calibrated to predict flow stress of an as-cast AZ91D (Mg-9%Al-1%Zn) alloy. Tensile stress-strain data, for strain rates from 10 -4 up to 10 -1 s -1 and temperatures from room temperature up to 190 \u00b0C were used for model calibration. The used model accounts for the interaction of various microstructure features with dislocations and thereby on the plastic properties. It was shown that the Secondary Dendrite Arm Spacing (SDAS) size was appropriate as an initial characteristic microstructural scale input to the model. However, as strain increased the influence of subcells size and total dislocation density dominated the flow stress. The calibrated temperature-dependent parameters were validated through a correlation between microstructure and the physics of the deforming alloy. The model was validated by comparison with dislocation density obtained by using Electron Backscattered Diffraction (EBSD) technique.", "author" : [ { "dropping-particle" : "", "family" : "Dini", "given" : "H.", "non-dropping-particle" : "", "parse-names" : false, "suffix" : "" }, { "dropping-particle" : "", "family" : "Svoboda", "given" : "A.", "non-dropping-particle" : "", "parse-names" : false, "suffix" : "" }, { "dropping-particle" : "", "family" : "Andersson", "given" : "N.-E.", "non-dropping-particle" : "", "parse-names" : false, "suffix" : "" }, { "dropping-particle" : "", "family" : "Ghassemali", "given" : "E.", "non-dropping-particle" : "", "parse-names" : false, "suffix" : "" }, { "dropping-particle" : "", "family" : "Lindgren", "given" : "L.-E.", "non-dropping-particle" : "", "parse-names" : false, "suffix" : "" }, { "dropping-particle" : "", "family" : "Jarfors", "given" : "A.E.W.", "non-dropping-particle" : "", "parse-names" : false, "suffix" : "" } ], "container-title" : "Materials Science and Engineering A", "id" : "ITEM-2", "issued" : { "date-parts" : [ [ "2018" ] ] }, "title" : "Optimization and validation of a dislocation density based constitutive model for as-cast Mg-9%Al-1%Zn", "type" : "article-journal", "volume" : "710" }, "uris" : [ "http://www.mendeley.com/documents/?uuid=73baf50c-b5a5-3092-8dfe-57748317277e" ] }, { "id" : "ITEM-3", "itemData" : { "DOI" : "10.1016/j.compositesa.2011.09.019", "ISSN" : "1359835X", "author" : [ { "dropping-particle" : "", "family" : "Paramsothy", "given" : "M.", "non-dropping-particle" : "", "parse-names" : false, "suffix" : "" }, { "dropping-particle" : "", "family" : "Chan", "given" : "J.", "non-dropping-particle" : "", "parse-names" : false, "suffix" : "" }, { "dropping-particle" : "", "family" : "Kwok", "given" : "R.", "non-dropping-particle" : "", "parse-names" : false, "suffix" : "" }, { "dropping-particle" : "", "family" : "Gupta", "given" : "M.", "non-dropping-particle" : "", "parse-names" : false, "suffix" : "" } ], "container-title" : "Composites Part A: Applied Science and Manufacturing", "id" : "ITEM-3", "issue" : "12", "issued" : { "date-parts" : [ [ "2011" ] ] }, "page" : "2093-2100", "publisher" : "Elsevier Ltd", "title" : "Enhanced mechanical response of magnesium alloy ZK60A containing Si3N4 nanoparticles", "type" : "article-journal", "volume" : "42" }, "uris" : [ "http://www.mendeley.com/documents/?uuid=abfae825-02b5-4c5c-bb5a-cdf121e05930" ] } ], "mendeley" : { "formattedCitation" : "[4]\u2013[6]", "plainTextFormattedCitation" : "[4]\u2013[6]", "previouslyFormattedCitation" : "[4]\u2013[6]" }, "properties" : { "noteIndex" : 0 }, "schema" : "https://github.com/citation-style-language/schema/raw/master/csl-citation.json" }</w:instrText>
      </w:r>
      <w:r w:rsidR="00E33D86">
        <w:rPr>
          <w:rFonts w:ascii="Arial" w:hAnsi="Arial" w:cs="Arial"/>
          <w:sz w:val="18"/>
        </w:rPr>
        <w:fldChar w:fldCharType="separate"/>
      </w:r>
      <w:r w:rsidR="00E33D86" w:rsidRPr="00E33D86">
        <w:rPr>
          <w:rFonts w:ascii="Arial" w:hAnsi="Arial" w:cs="Arial"/>
          <w:noProof/>
          <w:sz w:val="18"/>
        </w:rPr>
        <w:t>[4]–[6]</w:t>
      </w:r>
      <w:r w:rsidR="00E33D86">
        <w:rPr>
          <w:rFonts w:ascii="Arial" w:hAnsi="Arial" w:cs="Arial"/>
          <w:sz w:val="18"/>
        </w:rPr>
        <w:fldChar w:fldCharType="end"/>
      </w:r>
      <w:r w:rsidRPr="004405F4">
        <w:rPr>
          <w:rFonts w:ascii="Arial" w:hAnsi="Arial" w:cs="Arial"/>
          <w:sz w:val="18"/>
        </w:rPr>
        <w:t>.</w:t>
      </w:r>
      <w:r w:rsidR="00D30DBB">
        <w:rPr>
          <w:rFonts w:ascii="Arial" w:hAnsi="Arial" w:cs="Arial"/>
          <w:sz w:val="18"/>
        </w:rPr>
        <w:t xml:space="preserve"> </w:t>
      </w:r>
      <w:r w:rsidR="00FC13D7">
        <w:rPr>
          <w:rFonts w:ascii="Arial" w:hAnsi="Arial" w:cs="Arial"/>
          <w:sz w:val="18"/>
        </w:rPr>
        <w:t>Following the IEEE formatting</w:t>
      </w:r>
      <w:r w:rsidR="000E7E4F">
        <w:rPr>
          <w:rFonts w:ascii="Arial" w:hAnsi="Arial" w:cs="Arial"/>
          <w:sz w:val="18"/>
        </w:rPr>
        <w:t>. T</w:t>
      </w:r>
      <w:r w:rsidR="00D30DBB">
        <w:rPr>
          <w:rFonts w:ascii="Arial" w:hAnsi="Arial" w:cs="Arial"/>
          <w:sz w:val="18"/>
        </w:rPr>
        <w:t xml:space="preserve">he use of </w:t>
      </w:r>
      <w:r w:rsidR="0085080E">
        <w:rPr>
          <w:rFonts w:ascii="Arial" w:hAnsi="Arial" w:cs="Arial"/>
          <w:sz w:val="18"/>
        </w:rPr>
        <w:t xml:space="preserve">indexing software such as Mendeley and Endnote is strongly </w:t>
      </w:r>
      <w:r w:rsidR="007F3B72">
        <w:rPr>
          <w:rFonts w:ascii="Arial" w:hAnsi="Arial" w:cs="Arial"/>
          <w:sz w:val="18"/>
        </w:rPr>
        <w:t>advised</w:t>
      </w:r>
      <w:r w:rsidR="0085080E">
        <w:rPr>
          <w:rFonts w:ascii="Arial" w:hAnsi="Arial" w:cs="Arial"/>
          <w:sz w:val="18"/>
        </w:rPr>
        <w:t>.</w:t>
      </w:r>
    </w:p>
    <w:p w14:paraId="72A84291" w14:textId="77777777" w:rsidR="00625A25" w:rsidRDefault="00625A25" w:rsidP="00625A25">
      <w:pPr>
        <w:spacing w:after="120" w:line="276" w:lineRule="auto"/>
        <w:contextualSpacing/>
        <w:jc w:val="both"/>
        <w:rPr>
          <w:rFonts w:ascii="Arial" w:hAnsi="Arial" w:cs="Arial"/>
          <w:sz w:val="20"/>
        </w:rPr>
      </w:pPr>
    </w:p>
    <w:p w14:paraId="3C0EB27B" w14:textId="77777777" w:rsidR="00C958A4" w:rsidRPr="00734E3A" w:rsidRDefault="00C958A4" w:rsidP="00625A25">
      <w:pPr>
        <w:spacing w:after="120" w:line="276" w:lineRule="auto"/>
        <w:contextualSpacing/>
        <w:jc w:val="both"/>
        <w:rPr>
          <w:rFonts w:ascii="Arial" w:hAnsi="Arial" w:cs="Arial"/>
          <w:b/>
          <w:sz w:val="28"/>
          <w:szCs w:val="20"/>
        </w:rPr>
      </w:pPr>
      <w:r w:rsidRPr="00734E3A">
        <w:rPr>
          <w:rFonts w:ascii="Arial" w:hAnsi="Arial" w:cs="Arial"/>
          <w:b/>
          <w:sz w:val="28"/>
          <w:szCs w:val="20"/>
        </w:rPr>
        <w:t>2. First level headings</w:t>
      </w:r>
    </w:p>
    <w:p w14:paraId="1AE1F1A0" w14:textId="77777777" w:rsidR="00C958A4" w:rsidRPr="004405F4" w:rsidRDefault="00C958A4" w:rsidP="00625A25">
      <w:pPr>
        <w:spacing w:after="120" w:line="276" w:lineRule="auto"/>
        <w:jc w:val="both"/>
        <w:rPr>
          <w:rFonts w:ascii="Arial" w:hAnsi="Arial" w:cs="Arial"/>
          <w:sz w:val="18"/>
          <w:szCs w:val="20"/>
        </w:rPr>
      </w:pPr>
      <w:r w:rsidRPr="004405F4">
        <w:rPr>
          <w:rFonts w:ascii="Arial" w:hAnsi="Arial" w:cs="Arial"/>
          <w:sz w:val="18"/>
          <w:szCs w:val="20"/>
        </w:rPr>
        <w:t xml:space="preserve">First level headings should be in Franklin </w:t>
      </w:r>
      <w:r w:rsidR="00976035" w:rsidRPr="004405F4">
        <w:rPr>
          <w:rFonts w:ascii="Arial" w:hAnsi="Arial" w:cs="Arial"/>
          <w:sz w:val="18"/>
          <w:szCs w:val="20"/>
        </w:rPr>
        <w:t>Arial</w:t>
      </w:r>
      <w:r w:rsidRPr="004405F4">
        <w:rPr>
          <w:rFonts w:ascii="Arial" w:hAnsi="Arial" w:cs="Arial"/>
          <w:sz w:val="18"/>
          <w:szCs w:val="20"/>
        </w:rPr>
        <w:t xml:space="preserve"> </w:t>
      </w:r>
      <w:r w:rsidR="00734E3A" w:rsidRPr="004405F4">
        <w:rPr>
          <w:rFonts w:ascii="Arial" w:hAnsi="Arial" w:cs="Arial"/>
          <w:sz w:val="18"/>
          <w:szCs w:val="20"/>
        </w:rPr>
        <w:t>14pt</w:t>
      </w:r>
      <w:r w:rsidR="00976035" w:rsidRPr="004405F4">
        <w:rPr>
          <w:rFonts w:ascii="Arial" w:hAnsi="Arial" w:cs="Arial"/>
          <w:sz w:val="18"/>
          <w:szCs w:val="20"/>
        </w:rPr>
        <w:t xml:space="preserve"> bold</w:t>
      </w:r>
      <w:r w:rsidRPr="004405F4">
        <w:rPr>
          <w:rFonts w:ascii="Arial" w:hAnsi="Arial" w:cs="Arial"/>
          <w:sz w:val="18"/>
          <w:szCs w:val="20"/>
        </w:rPr>
        <w:t xml:space="preserve">, left justified. The heading should have a paragraph spacing of </w:t>
      </w:r>
      <w:r w:rsidR="00976035" w:rsidRPr="004405F4">
        <w:rPr>
          <w:rFonts w:ascii="Arial" w:hAnsi="Arial" w:cs="Arial"/>
          <w:sz w:val="18"/>
          <w:szCs w:val="20"/>
        </w:rPr>
        <w:t>6</w:t>
      </w:r>
      <w:r w:rsidRPr="004405F4">
        <w:rPr>
          <w:rFonts w:ascii="Arial" w:hAnsi="Arial" w:cs="Arial"/>
          <w:sz w:val="18"/>
          <w:szCs w:val="20"/>
        </w:rPr>
        <w:t xml:space="preserve">pt after. The headings should be numbered sequentially. The numbering should not be automatically generated, but should be typed manually and followed by a full stop and a single space before the typed heading. </w:t>
      </w:r>
    </w:p>
    <w:p w14:paraId="68FF51E7" w14:textId="77777777" w:rsidR="00625A25" w:rsidRPr="004405F4" w:rsidRDefault="00625A25">
      <w:pPr>
        <w:rPr>
          <w:rFonts w:ascii="Arial" w:hAnsi="Arial" w:cs="Arial"/>
          <w:b/>
          <w:sz w:val="18"/>
          <w:szCs w:val="20"/>
        </w:rPr>
      </w:pPr>
    </w:p>
    <w:p w14:paraId="25F5EF66" w14:textId="77777777" w:rsidR="00C958A4" w:rsidRPr="00A475D3" w:rsidRDefault="00C958A4" w:rsidP="00625A25">
      <w:pPr>
        <w:spacing w:after="120" w:line="276" w:lineRule="auto"/>
        <w:contextualSpacing/>
        <w:jc w:val="both"/>
        <w:rPr>
          <w:rFonts w:ascii="Arial" w:hAnsi="Arial" w:cs="Arial"/>
          <w:b/>
          <w:sz w:val="20"/>
          <w:szCs w:val="20"/>
        </w:rPr>
      </w:pPr>
      <w:r w:rsidRPr="00A475D3">
        <w:rPr>
          <w:rFonts w:ascii="Arial" w:hAnsi="Arial" w:cs="Arial"/>
          <w:b/>
          <w:sz w:val="20"/>
          <w:szCs w:val="20"/>
        </w:rPr>
        <w:t>2.1 Second level headings [</w:t>
      </w:r>
      <w:r w:rsidR="00976035" w:rsidRPr="00A475D3">
        <w:rPr>
          <w:rFonts w:ascii="Arial" w:hAnsi="Arial" w:cs="Arial"/>
          <w:b/>
          <w:sz w:val="20"/>
          <w:szCs w:val="20"/>
        </w:rPr>
        <w:t>Arial</w:t>
      </w:r>
      <w:r w:rsidRPr="00A475D3">
        <w:rPr>
          <w:rFonts w:ascii="Arial" w:hAnsi="Arial" w:cs="Arial"/>
          <w:b/>
          <w:sz w:val="20"/>
          <w:szCs w:val="20"/>
        </w:rPr>
        <w:t xml:space="preserve"> </w:t>
      </w:r>
      <w:r w:rsidR="00976035" w:rsidRPr="00A475D3">
        <w:rPr>
          <w:rFonts w:ascii="Arial" w:hAnsi="Arial" w:cs="Arial"/>
          <w:b/>
          <w:sz w:val="20"/>
          <w:szCs w:val="20"/>
        </w:rPr>
        <w:t>10</w:t>
      </w:r>
      <w:r w:rsidRPr="00A475D3">
        <w:rPr>
          <w:rFonts w:ascii="Arial" w:hAnsi="Arial" w:cs="Arial"/>
          <w:b/>
          <w:sz w:val="20"/>
          <w:szCs w:val="20"/>
        </w:rPr>
        <w:t>pt, bold]</w:t>
      </w:r>
    </w:p>
    <w:p w14:paraId="66EDE5C8" w14:textId="77777777" w:rsidR="00C958A4" w:rsidRPr="004405F4" w:rsidRDefault="00C958A4" w:rsidP="00625A25">
      <w:pPr>
        <w:spacing w:after="120" w:line="276" w:lineRule="auto"/>
        <w:jc w:val="both"/>
        <w:rPr>
          <w:rFonts w:ascii="Arial" w:hAnsi="Arial" w:cs="Arial"/>
          <w:sz w:val="18"/>
          <w:szCs w:val="20"/>
        </w:rPr>
      </w:pPr>
      <w:r w:rsidRPr="004405F4">
        <w:rPr>
          <w:rFonts w:ascii="Arial" w:hAnsi="Arial" w:cs="Arial"/>
          <w:sz w:val="18"/>
          <w:szCs w:val="20"/>
        </w:rPr>
        <w:t xml:space="preserve">Second level headings should be in </w:t>
      </w:r>
      <w:r w:rsidR="00976035" w:rsidRPr="004405F4">
        <w:rPr>
          <w:rFonts w:ascii="Arial" w:hAnsi="Arial" w:cs="Arial"/>
          <w:sz w:val="18"/>
          <w:szCs w:val="20"/>
        </w:rPr>
        <w:t>Arial 10</w:t>
      </w:r>
      <w:r w:rsidRPr="004405F4">
        <w:rPr>
          <w:rFonts w:ascii="Arial" w:hAnsi="Arial" w:cs="Arial"/>
          <w:sz w:val="18"/>
          <w:szCs w:val="20"/>
        </w:rPr>
        <w:t xml:space="preserve">pt, bold, left justified. The heading should have a paragraph spacing of </w:t>
      </w:r>
      <w:r w:rsidR="00976035" w:rsidRPr="004405F4">
        <w:rPr>
          <w:rFonts w:ascii="Arial" w:hAnsi="Arial" w:cs="Arial"/>
          <w:sz w:val="18"/>
          <w:szCs w:val="20"/>
        </w:rPr>
        <w:t>6</w:t>
      </w:r>
      <w:r w:rsidRPr="004405F4">
        <w:rPr>
          <w:rFonts w:ascii="Arial" w:hAnsi="Arial" w:cs="Arial"/>
          <w:sz w:val="18"/>
          <w:szCs w:val="20"/>
        </w:rPr>
        <w:t xml:space="preserve">pt after. Second level headings should also be numbered sequentially, </w:t>
      </w:r>
      <w:r w:rsidRPr="004405F4">
        <w:rPr>
          <w:rFonts w:ascii="Arial" w:hAnsi="Arial" w:cs="Arial"/>
          <w:sz w:val="18"/>
          <w:szCs w:val="20"/>
        </w:rPr>
        <w:lastRenderedPageBreak/>
        <w:t>manually, with a single space between the number and the heading. Given the brevity of the papers, the use of third level headings is discouraged.</w:t>
      </w:r>
    </w:p>
    <w:p w14:paraId="4F951FAB" w14:textId="77777777" w:rsidR="00C958A4" w:rsidRPr="00734E3A" w:rsidRDefault="00C958A4" w:rsidP="00625A25">
      <w:pPr>
        <w:spacing w:after="120" w:line="276" w:lineRule="auto"/>
        <w:contextualSpacing/>
        <w:jc w:val="both"/>
        <w:rPr>
          <w:rFonts w:ascii="Arial" w:hAnsi="Arial" w:cs="Arial"/>
          <w:b/>
          <w:sz w:val="28"/>
          <w:szCs w:val="20"/>
        </w:rPr>
      </w:pPr>
      <w:r w:rsidRPr="00734E3A">
        <w:rPr>
          <w:rFonts w:ascii="Arial" w:hAnsi="Arial" w:cs="Arial"/>
          <w:b/>
          <w:sz w:val="28"/>
          <w:szCs w:val="20"/>
        </w:rPr>
        <w:t>3. Tables, figures and equations</w:t>
      </w:r>
    </w:p>
    <w:p w14:paraId="26ECC02F" w14:textId="77777777" w:rsidR="00C958A4" w:rsidRPr="004405F4" w:rsidRDefault="00C958A4" w:rsidP="00625A25">
      <w:pPr>
        <w:spacing w:after="120" w:line="276" w:lineRule="auto"/>
        <w:jc w:val="both"/>
        <w:rPr>
          <w:rFonts w:ascii="Arial" w:hAnsi="Arial" w:cs="Arial"/>
          <w:sz w:val="18"/>
          <w:szCs w:val="20"/>
        </w:rPr>
      </w:pPr>
      <w:r w:rsidRPr="004405F4">
        <w:rPr>
          <w:rFonts w:ascii="Arial" w:hAnsi="Arial" w:cs="Arial"/>
          <w:sz w:val="18"/>
          <w:szCs w:val="20"/>
        </w:rPr>
        <w:t xml:space="preserve">Precise details for the placement and formatting of figures is provided in Sections 3.2 and 3.3, respectively. Authors should ideally follow these instructions. However, the editors recognise that authors may not find this straightforward, and so the editors are happy for all tables and figures to be placed at the end of the manuscript (and the editors will arrange for the figures to be properly placed). Nonetheless the manuscript should still be no more than </w:t>
      </w:r>
      <w:r w:rsidR="00976035" w:rsidRPr="004405F4">
        <w:rPr>
          <w:rFonts w:ascii="Arial" w:hAnsi="Arial" w:cs="Arial"/>
          <w:sz w:val="18"/>
          <w:szCs w:val="20"/>
        </w:rPr>
        <w:t>six</w:t>
      </w:r>
      <w:r w:rsidRPr="004405F4">
        <w:rPr>
          <w:rFonts w:ascii="Arial" w:hAnsi="Arial" w:cs="Arial"/>
          <w:sz w:val="18"/>
          <w:szCs w:val="20"/>
        </w:rPr>
        <w:t xml:space="preserve"> pages in length.</w:t>
      </w:r>
    </w:p>
    <w:p w14:paraId="6395957A" w14:textId="77777777" w:rsidR="00625A25" w:rsidRPr="004405F4" w:rsidRDefault="00625A25" w:rsidP="00625A25">
      <w:pPr>
        <w:spacing w:after="0" w:line="276" w:lineRule="auto"/>
        <w:contextualSpacing/>
        <w:jc w:val="both"/>
        <w:rPr>
          <w:rFonts w:ascii="Arial" w:hAnsi="Arial" w:cs="Arial"/>
          <w:b/>
          <w:sz w:val="18"/>
          <w:szCs w:val="20"/>
        </w:rPr>
      </w:pPr>
    </w:p>
    <w:p w14:paraId="7C945151" w14:textId="77777777" w:rsidR="00C958A4" w:rsidRPr="00FC2483" w:rsidRDefault="00C958A4" w:rsidP="00625A25">
      <w:pPr>
        <w:spacing w:after="0" w:line="276" w:lineRule="auto"/>
        <w:contextualSpacing/>
        <w:jc w:val="both"/>
        <w:rPr>
          <w:rFonts w:ascii="Arial" w:hAnsi="Arial" w:cs="Arial"/>
          <w:b/>
          <w:sz w:val="20"/>
          <w:szCs w:val="20"/>
        </w:rPr>
      </w:pPr>
      <w:r w:rsidRPr="00FC2483">
        <w:rPr>
          <w:rFonts w:ascii="Arial" w:hAnsi="Arial" w:cs="Arial"/>
          <w:b/>
          <w:sz w:val="20"/>
          <w:szCs w:val="20"/>
        </w:rPr>
        <w:t>3.1 Tables</w:t>
      </w:r>
    </w:p>
    <w:p w14:paraId="6100951F" w14:textId="77777777" w:rsidR="00C958A4" w:rsidRPr="004405F4" w:rsidRDefault="00C958A4" w:rsidP="00625A25">
      <w:pPr>
        <w:pStyle w:val="NoSpacing"/>
        <w:spacing w:after="120" w:line="276" w:lineRule="auto"/>
        <w:contextualSpacing/>
        <w:jc w:val="both"/>
        <w:rPr>
          <w:rFonts w:ascii="Arial" w:hAnsi="Arial" w:cs="Arial"/>
          <w:sz w:val="18"/>
          <w:szCs w:val="20"/>
        </w:rPr>
      </w:pPr>
      <w:r w:rsidRPr="004405F4">
        <w:rPr>
          <w:rFonts w:ascii="Arial" w:hAnsi="Arial" w:cs="Arial"/>
          <w:sz w:val="18"/>
          <w:szCs w:val="20"/>
        </w:rPr>
        <w:t xml:space="preserve">Ideally tables should be sized to fit fully across the full width of the page. Where absolutely necessary a table may be of an intermediate width, but it must start at the </w:t>
      </w:r>
      <w:r w:rsidR="00FC2483" w:rsidRPr="004405F4">
        <w:rPr>
          <w:rFonts w:ascii="Arial" w:hAnsi="Arial" w:cs="Arial"/>
          <w:sz w:val="18"/>
          <w:szCs w:val="20"/>
        </w:rPr>
        <w:t>left-hand</w:t>
      </w:r>
      <w:r w:rsidRPr="004405F4">
        <w:rPr>
          <w:rFonts w:ascii="Arial" w:hAnsi="Arial" w:cs="Arial"/>
          <w:sz w:val="18"/>
          <w:szCs w:val="20"/>
        </w:rPr>
        <w:t xml:space="preserve"> margin, and the main text should not wrap around it.</w:t>
      </w:r>
    </w:p>
    <w:p w14:paraId="6E65BA79" w14:textId="77777777" w:rsidR="00C958A4" w:rsidRPr="004405F4" w:rsidRDefault="00C958A4" w:rsidP="00625A25">
      <w:pPr>
        <w:pStyle w:val="NoSpacing"/>
        <w:spacing w:after="120" w:line="276" w:lineRule="auto"/>
        <w:contextualSpacing/>
        <w:jc w:val="both"/>
        <w:rPr>
          <w:rFonts w:ascii="Arial" w:hAnsi="Arial" w:cs="Arial"/>
          <w:sz w:val="18"/>
          <w:szCs w:val="20"/>
        </w:rPr>
      </w:pPr>
      <w:r w:rsidRPr="004405F4">
        <w:rPr>
          <w:rFonts w:ascii="Arial" w:hAnsi="Arial" w:cs="Arial"/>
          <w:sz w:val="18"/>
          <w:szCs w:val="20"/>
        </w:rPr>
        <w:t>To keep tables visually clean, please limit the use of borders/lines between cells. For instance, in most cases vertical borders/lines are unnecessary. Where borders/lines are used they should have a width of ¼pt, except the top of the table which should be 1½pt.</w:t>
      </w:r>
    </w:p>
    <w:p w14:paraId="4FAFA998" w14:textId="77777777" w:rsidR="00FC2483" w:rsidRPr="004405F4" w:rsidRDefault="00C958A4" w:rsidP="00625A25">
      <w:pPr>
        <w:pStyle w:val="NoSpacing"/>
        <w:spacing w:after="120" w:line="276" w:lineRule="auto"/>
        <w:jc w:val="both"/>
        <w:rPr>
          <w:rFonts w:ascii="Arial" w:hAnsi="Arial" w:cs="Arial"/>
          <w:sz w:val="18"/>
          <w:szCs w:val="20"/>
        </w:rPr>
      </w:pPr>
      <w:r w:rsidRPr="004405F4">
        <w:rPr>
          <w:rFonts w:ascii="Arial" w:hAnsi="Arial" w:cs="Arial"/>
          <w:sz w:val="18"/>
          <w:szCs w:val="20"/>
        </w:rPr>
        <w:t xml:space="preserve">Table captions should always be placed above the table. They should be of the form: </w:t>
      </w:r>
      <w:r w:rsidRPr="004405F4">
        <w:rPr>
          <w:rFonts w:ascii="Arial" w:hAnsi="Arial" w:cs="Arial"/>
          <w:b/>
          <w:sz w:val="18"/>
          <w:szCs w:val="20"/>
        </w:rPr>
        <w:t>Table x:</w:t>
      </w:r>
      <w:r w:rsidRPr="004405F4">
        <w:rPr>
          <w:rFonts w:ascii="Arial" w:hAnsi="Arial" w:cs="Arial"/>
          <w:sz w:val="18"/>
          <w:szCs w:val="20"/>
        </w:rPr>
        <w:t xml:space="preserve"> Lorem ipsum dolor sit. The captions should be in </w:t>
      </w:r>
      <w:r w:rsidR="00FC2483" w:rsidRPr="004405F4">
        <w:rPr>
          <w:rFonts w:ascii="Arial" w:hAnsi="Arial" w:cs="Arial"/>
          <w:sz w:val="18"/>
          <w:szCs w:val="20"/>
        </w:rPr>
        <w:t>Arial</w:t>
      </w:r>
      <w:r w:rsidRPr="004405F4">
        <w:rPr>
          <w:rFonts w:ascii="Arial" w:hAnsi="Arial" w:cs="Arial"/>
          <w:sz w:val="18"/>
          <w:szCs w:val="20"/>
        </w:rPr>
        <w:t xml:space="preserve"> </w:t>
      </w:r>
      <w:r w:rsidR="00FC2483" w:rsidRPr="004405F4">
        <w:rPr>
          <w:rFonts w:ascii="Arial" w:hAnsi="Arial" w:cs="Arial"/>
          <w:sz w:val="18"/>
          <w:szCs w:val="20"/>
        </w:rPr>
        <w:t>8pt</w:t>
      </w:r>
      <w:r w:rsidRPr="004405F4">
        <w:rPr>
          <w:rFonts w:ascii="Arial" w:hAnsi="Arial" w:cs="Arial"/>
          <w:sz w:val="18"/>
          <w:szCs w:val="20"/>
        </w:rPr>
        <w:t>, with 1.15 line spacing, 3pt paragraph spacing after, and left justified.</w:t>
      </w:r>
      <w:r w:rsidR="00625A25" w:rsidRPr="004405F4">
        <w:rPr>
          <w:rFonts w:ascii="Arial" w:hAnsi="Arial" w:cs="Arial"/>
          <w:sz w:val="18"/>
          <w:szCs w:val="20"/>
        </w:rPr>
        <w:t xml:space="preserve"> </w:t>
      </w:r>
      <w:r w:rsidRPr="004405F4">
        <w:rPr>
          <w:rFonts w:ascii="Arial" w:hAnsi="Arial" w:cs="Arial"/>
          <w:sz w:val="18"/>
          <w:szCs w:val="20"/>
        </w:rPr>
        <w:t>Referring to tables in the main body of the text should always take the form Table x.</w:t>
      </w:r>
    </w:p>
    <w:p w14:paraId="210A0CF4" w14:textId="77777777" w:rsidR="00625A25" w:rsidRPr="004405F4" w:rsidRDefault="00625A25" w:rsidP="00625A25">
      <w:pPr>
        <w:pStyle w:val="NoSpacing"/>
        <w:spacing w:after="120" w:line="276" w:lineRule="auto"/>
        <w:jc w:val="both"/>
        <w:rPr>
          <w:rFonts w:ascii="Arial" w:hAnsi="Arial" w:cs="Arial"/>
          <w:sz w:val="18"/>
          <w:szCs w:val="20"/>
        </w:rPr>
      </w:pPr>
    </w:p>
    <w:p w14:paraId="199FB33A" w14:textId="77777777" w:rsidR="00C958A4" w:rsidRPr="00A475D3" w:rsidRDefault="00C958A4" w:rsidP="00625A25">
      <w:pPr>
        <w:spacing w:after="120" w:line="276" w:lineRule="auto"/>
        <w:contextualSpacing/>
        <w:jc w:val="both"/>
        <w:rPr>
          <w:rFonts w:ascii="Arial" w:hAnsi="Arial" w:cs="Arial"/>
          <w:sz w:val="20"/>
          <w:szCs w:val="20"/>
        </w:rPr>
      </w:pPr>
      <w:r w:rsidRPr="00A475D3">
        <w:rPr>
          <w:rFonts w:ascii="Arial" w:hAnsi="Arial" w:cs="Arial"/>
          <w:b/>
          <w:sz w:val="20"/>
          <w:szCs w:val="20"/>
        </w:rPr>
        <w:t>3.2 Figures</w:t>
      </w:r>
    </w:p>
    <w:p w14:paraId="1EAB6F98" w14:textId="77777777" w:rsidR="00C958A4" w:rsidRPr="004405F4" w:rsidRDefault="00C958A4" w:rsidP="00625A25">
      <w:pPr>
        <w:spacing w:after="120" w:line="276" w:lineRule="auto"/>
        <w:contextualSpacing/>
        <w:jc w:val="both"/>
        <w:rPr>
          <w:rFonts w:ascii="Arial" w:hAnsi="Arial" w:cs="Arial"/>
          <w:sz w:val="18"/>
          <w:szCs w:val="18"/>
        </w:rPr>
      </w:pPr>
      <w:r w:rsidRPr="004405F4">
        <w:rPr>
          <w:rFonts w:ascii="Arial" w:hAnsi="Arial" w:cs="Arial"/>
          <w:sz w:val="18"/>
          <w:szCs w:val="18"/>
        </w:rPr>
        <w:t>Ideally figures should be sized to fit either acr</w:t>
      </w:r>
      <w:r w:rsidR="00FC2483" w:rsidRPr="004405F4">
        <w:rPr>
          <w:rFonts w:ascii="Arial" w:hAnsi="Arial" w:cs="Arial"/>
          <w:sz w:val="18"/>
          <w:szCs w:val="18"/>
        </w:rPr>
        <w:t>oss the full width of the page.</w:t>
      </w:r>
      <w:r w:rsidRPr="004405F4">
        <w:rPr>
          <w:rFonts w:ascii="Arial" w:hAnsi="Arial" w:cs="Arial"/>
          <w:sz w:val="18"/>
          <w:szCs w:val="18"/>
        </w:rPr>
        <w:t xml:space="preserve"> Where necessary a figure may be of an intermediate </w:t>
      </w:r>
      <w:r w:rsidR="00FC2483" w:rsidRPr="004405F4">
        <w:rPr>
          <w:rFonts w:ascii="Arial" w:hAnsi="Arial" w:cs="Arial"/>
          <w:sz w:val="18"/>
          <w:szCs w:val="18"/>
        </w:rPr>
        <w:t>width</w:t>
      </w:r>
      <w:r w:rsidRPr="004405F4">
        <w:rPr>
          <w:rFonts w:ascii="Arial" w:hAnsi="Arial" w:cs="Arial"/>
          <w:sz w:val="18"/>
          <w:szCs w:val="18"/>
        </w:rPr>
        <w:t xml:space="preserve">, but it must </w:t>
      </w:r>
      <w:r w:rsidR="00FC2483" w:rsidRPr="004405F4">
        <w:rPr>
          <w:rFonts w:ascii="Arial" w:hAnsi="Arial" w:cs="Arial"/>
          <w:sz w:val="18"/>
          <w:szCs w:val="18"/>
        </w:rPr>
        <w:t>be left justified in the page,</w:t>
      </w:r>
      <w:r w:rsidRPr="004405F4">
        <w:rPr>
          <w:rFonts w:ascii="Arial" w:hAnsi="Arial" w:cs="Arial"/>
          <w:sz w:val="18"/>
          <w:szCs w:val="18"/>
        </w:rPr>
        <w:t xml:space="preserve"> and the main text should not wrap around it. Each figure should be placed within a table cell, with ¼pt width borders, that fits </w:t>
      </w:r>
      <w:r w:rsidR="00FC2483" w:rsidRPr="004405F4">
        <w:rPr>
          <w:rFonts w:ascii="Arial" w:hAnsi="Arial" w:cs="Arial"/>
          <w:sz w:val="18"/>
          <w:szCs w:val="18"/>
        </w:rPr>
        <w:t>to the</w:t>
      </w:r>
      <w:r w:rsidRPr="004405F4">
        <w:rPr>
          <w:rFonts w:ascii="Arial" w:hAnsi="Arial" w:cs="Arial"/>
          <w:sz w:val="18"/>
          <w:szCs w:val="18"/>
        </w:rPr>
        <w:t xml:space="preserve"> page margins.</w:t>
      </w:r>
    </w:p>
    <w:p w14:paraId="31E4E48C" w14:textId="77777777" w:rsidR="00C958A4" w:rsidRPr="004405F4" w:rsidRDefault="00C958A4" w:rsidP="00625A25">
      <w:pPr>
        <w:spacing w:after="120" w:line="276" w:lineRule="auto"/>
        <w:contextualSpacing/>
        <w:jc w:val="both"/>
        <w:rPr>
          <w:rFonts w:ascii="Arial" w:hAnsi="Arial" w:cs="Arial"/>
          <w:sz w:val="18"/>
          <w:szCs w:val="18"/>
        </w:rPr>
      </w:pPr>
      <w:r w:rsidRPr="004405F4">
        <w:rPr>
          <w:rFonts w:ascii="Arial" w:hAnsi="Arial" w:cs="Arial"/>
          <w:sz w:val="18"/>
          <w:szCs w:val="18"/>
        </w:rPr>
        <w:t xml:space="preserve">Figure captions should always be placed below the figure. They should be of the form: </w:t>
      </w:r>
      <w:r w:rsidRPr="004405F4">
        <w:rPr>
          <w:rFonts w:ascii="Arial" w:hAnsi="Arial" w:cs="Arial"/>
          <w:b/>
          <w:sz w:val="18"/>
          <w:szCs w:val="18"/>
        </w:rPr>
        <w:t>Figure y:</w:t>
      </w:r>
      <w:r w:rsidRPr="004405F4">
        <w:rPr>
          <w:rFonts w:ascii="Arial" w:hAnsi="Arial" w:cs="Arial"/>
          <w:sz w:val="18"/>
          <w:szCs w:val="18"/>
        </w:rPr>
        <w:t xml:space="preserve"> Lorem ipsum dolor sit. The captions should </w:t>
      </w:r>
      <w:r w:rsidR="00FC2483" w:rsidRPr="004405F4">
        <w:rPr>
          <w:rFonts w:ascii="Arial" w:hAnsi="Arial" w:cs="Arial"/>
          <w:sz w:val="18"/>
          <w:szCs w:val="18"/>
        </w:rPr>
        <w:t>be Arial</w:t>
      </w:r>
      <w:r w:rsidRPr="004405F4">
        <w:rPr>
          <w:rFonts w:ascii="Arial" w:hAnsi="Arial" w:cs="Arial"/>
          <w:sz w:val="18"/>
          <w:szCs w:val="18"/>
        </w:rPr>
        <w:t xml:space="preserve"> 8pt typeface, 1.15 line spacing, with 3pt paragraph spacing before, and left justified. The captions for figures of intermediate width should be placed to the right of the figure and the bottom of the caption should align with the bottom of the figure.</w:t>
      </w:r>
    </w:p>
    <w:p w14:paraId="3520AFE4" w14:textId="77777777" w:rsidR="00C958A4" w:rsidRPr="004405F4" w:rsidRDefault="00C958A4" w:rsidP="00625A25">
      <w:pPr>
        <w:spacing w:after="120" w:line="276" w:lineRule="auto"/>
        <w:contextualSpacing/>
        <w:jc w:val="both"/>
        <w:rPr>
          <w:rFonts w:ascii="Arial" w:hAnsi="Arial" w:cs="Arial"/>
          <w:sz w:val="18"/>
          <w:szCs w:val="18"/>
        </w:rPr>
      </w:pPr>
      <w:r w:rsidRPr="0085080E">
        <w:rPr>
          <w:rFonts w:ascii="Arial" w:hAnsi="Arial" w:cs="Arial"/>
          <w:i/>
          <w:sz w:val="18"/>
          <w:szCs w:val="18"/>
        </w:rPr>
        <w:t xml:space="preserve">The proceedings will be produced in black &amp; white. </w:t>
      </w:r>
      <w:r w:rsidR="00FC2483" w:rsidRPr="0085080E">
        <w:rPr>
          <w:rFonts w:ascii="Arial" w:hAnsi="Arial" w:cs="Arial"/>
          <w:i/>
          <w:sz w:val="18"/>
          <w:szCs w:val="18"/>
        </w:rPr>
        <w:t>Therefore,</w:t>
      </w:r>
      <w:r w:rsidRPr="0085080E">
        <w:rPr>
          <w:rFonts w:ascii="Arial" w:hAnsi="Arial" w:cs="Arial"/>
          <w:i/>
          <w:sz w:val="18"/>
          <w:szCs w:val="18"/>
        </w:rPr>
        <w:t xml:space="preserve"> figures should ideally be provided in black &amp; white</w:t>
      </w:r>
      <w:r w:rsidRPr="004405F4">
        <w:rPr>
          <w:rFonts w:ascii="Arial" w:hAnsi="Arial" w:cs="Arial"/>
          <w:sz w:val="18"/>
          <w:szCs w:val="18"/>
        </w:rPr>
        <w:t>. If figures are provided in colour then authors should ensure that they are easily interpreted when reproduced in monochrome, e.g. symbols representing data in graphs should be different shapes for different series. Authors should also take care that detail in colour photomicrographs is not lost when reproduced in black &amp; white (contrasting colours can appear the same shade of grey when viewed in monochrome). All annotations placed on photomicrographs should be clear and readable.</w:t>
      </w:r>
    </w:p>
    <w:p w14:paraId="4208A049" w14:textId="77777777" w:rsidR="00C958A4" w:rsidRPr="004405F4" w:rsidRDefault="00C958A4" w:rsidP="00625A25">
      <w:pPr>
        <w:spacing w:after="120" w:line="276" w:lineRule="auto"/>
        <w:contextualSpacing/>
        <w:jc w:val="both"/>
        <w:rPr>
          <w:rFonts w:ascii="Arial" w:hAnsi="Arial" w:cs="Arial"/>
          <w:sz w:val="18"/>
          <w:szCs w:val="18"/>
        </w:rPr>
      </w:pPr>
      <w:r w:rsidRPr="004405F4">
        <w:rPr>
          <w:rFonts w:ascii="Arial" w:hAnsi="Arial" w:cs="Arial"/>
          <w:sz w:val="18"/>
          <w:szCs w:val="18"/>
        </w:rPr>
        <w:t xml:space="preserve">Referring to figures in the main body of the text should always take the form Figure Equations should be centred and numbered sequentially in parentheses on the </w:t>
      </w:r>
      <w:r w:rsidR="00734E3A" w:rsidRPr="004405F4">
        <w:rPr>
          <w:rFonts w:ascii="Arial" w:hAnsi="Arial" w:cs="Arial"/>
          <w:sz w:val="18"/>
          <w:szCs w:val="18"/>
        </w:rPr>
        <w:t>right-hand</w:t>
      </w:r>
      <w:r w:rsidRPr="004405F4">
        <w:rPr>
          <w:rFonts w:ascii="Arial" w:hAnsi="Arial" w:cs="Arial"/>
          <w:sz w:val="18"/>
          <w:szCs w:val="18"/>
        </w:rPr>
        <w:t xml:space="preserve"> side. This can be achieved by creating the equation inside a table thus:</w:t>
      </w:r>
    </w:p>
    <w:p w14:paraId="5FF9DDEB" w14:textId="77777777" w:rsidR="00C958A4" w:rsidRPr="004405F4" w:rsidRDefault="00734E3A" w:rsidP="00625A25">
      <w:pPr>
        <w:spacing w:after="120" w:line="276" w:lineRule="auto"/>
        <w:contextualSpacing/>
        <w:jc w:val="center"/>
        <w:rPr>
          <w:rFonts w:ascii="Arial" w:hAnsi="Arial" w:cs="Arial"/>
          <w:sz w:val="18"/>
          <w:szCs w:val="18"/>
        </w:rPr>
      </w:pPr>
      <w:r w:rsidRPr="004405F4">
        <w:rPr>
          <w:rFonts w:ascii="Arial" w:hAnsi="Arial" w:cs="Arial"/>
          <w:position w:val="-30"/>
          <w:sz w:val="18"/>
          <w:szCs w:val="18"/>
        </w:rPr>
        <w:object w:dxaOrig="1680" w:dyaOrig="720" w14:anchorId="30467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3pt;height:36.6pt" o:ole="">
            <v:imagedata r:id="rId7" o:title=""/>
          </v:shape>
          <o:OLEObject Type="Embed" ProgID="Equation.3" ShapeID="_x0000_i1025" DrawAspect="Content" ObjectID="_1590419644" r:id="rId8"/>
        </w:object>
      </w:r>
      <w:r w:rsidRPr="004405F4">
        <w:rPr>
          <w:rFonts w:ascii="Arial" w:hAnsi="Arial" w:cs="Arial"/>
          <w:sz w:val="18"/>
          <w:szCs w:val="18"/>
        </w:rPr>
        <w:t xml:space="preserve"> </w:t>
      </w:r>
      <w:r w:rsidRPr="004405F4">
        <w:rPr>
          <w:rFonts w:ascii="Arial" w:hAnsi="Arial" w:cs="Arial"/>
          <w:sz w:val="18"/>
          <w:szCs w:val="18"/>
        </w:rPr>
        <w:tab/>
      </w:r>
      <w:r w:rsidRPr="004405F4">
        <w:rPr>
          <w:rFonts w:ascii="Arial" w:hAnsi="Arial" w:cs="Arial"/>
          <w:sz w:val="18"/>
          <w:szCs w:val="18"/>
        </w:rPr>
        <w:tab/>
      </w:r>
      <w:r w:rsidRPr="004405F4">
        <w:rPr>
          <w:rFonts w:ascii="Arial" w:hAnsi="Arial" w:cs="Arial"/>
          <w:sz w:val="18"/>
          <w:szCs w:val="18"/>
        </w:rPr>
        <w:tab/>
      </w:r>
      <w:r w:rsidR="00C958A4" w:rsidRPr="004405F4">
        <w:rPr>
          <w:rFonts w:ascii="Arial" w:hAnsi="Arial" w:cs="Arial"/>
          <w:sz w:val="18"/>
          <w:szCs w:val="18"/>
        </w:rPr>
        <w:t>(1)</w:t>
      </w:r>
    </w:p>
    <w:p w14:paraId="0FC37291" w14:textId="77777777" w:rsidR="00C958A4" w:rsidRPr="004405F4" w:rsidRDefault="00C958A4" w:rsidP="00625A25">
      <w:pPr>
        <w:spacing w:after="120" w:line="276" w:lineRule="auto"/>
        <w:jc w:val="both"/>
        <w:rPr>
          <w:rFonts w:ascii="Arial" w:hAnsi="Arial" w:cs="Arial"/>
          <w:sz w:val="18"/>
          <w:szCs w:val="18"/>
        </w:rPr>
      </w:pPr>
      <w:r w:rsidRPr="004405F4">
        <w:rPr>
          <w:rFonts w:ascii="Arial" w:hAnsi="Arial" w:cs="Arial"/>
          <w:sz w:val="18"/>
          <w:szCs w:val="18"/>
        </w:rPr>
        <w:t>Referring to equations in the main body of the text should always take the form Equation z.</w:t>
      </w:r>
    </w:p>
    <w:p w14:paraId="580ED142" w14:textId="77777777" w:rsidR="00625A25" w:rsidRPr="00A475D3" w:rsidRDefault="00625A25" w:rsidP="00625A25">
      <w:pPr>
        <w:spacing w:after="120" w:line="276" w:lineRule="auto"/>
        <w:jc w:val="both"/>
        <w:rPr>
          <w:rFonts w:ascii="Arial" w:hAnsi="Arial" w:cs="Arial"/>
          <w:sz w:val="20"/>
          <w:szCs w:val="20"/>
        </w:rPr>
      </w:pPr>
    </w:p>
    <w:p w14:paraId="4B7EADBD" w14:textId="77777777" w:rsidR="00C958A4" w:rsidRPr="00734E3A" w:rsidRDefault="00C958A4" w:rsidP="00625A25">
      <w:pPr>
        <w:spacing w:after="120" w:line="276" w:lineRule="auto"/>
        <w:contextualSpacing/>
        <w:jc w:val="both"/>
        <w:rPr>
          <w:rFonts w:ascii="Arial" w:hAnsi="Arial" w:cs="Arial"/>
          <w:b/>
          <w:sz w:val="28"/>
          <w:szCs w:val="20"/>
        </w:rPr>
      </w:pPr>
      <w:r w:rsidRPr="00734E3A">
        <w:rPr>
          <w:rFonts w:ascii="Arial" w:hAnsi="Arial" w:cs="Arial"/>
          <w:b/>
          <w:sz w:val="28"/>
          <w:szCs w:val="20"/>
        </w:rPr>
        <w:t>4. Submission</w:t>
      </w:r>
    </w:p>
    <w:p w14:paraId="55DC008E" w14:textId="4AD4F6BC" w:rsidR="00C958A4" w:rsidRPr="004405F4" w:rsidRDefault="00C958A4" w:rsidP="00FB42F9">
      <w:pPr>
        <w:rPr>
          <w:rFonts w:ascii="Arial" w:hAnsi="Arial" w:cs="Arial"/>
          <w:sz w:val="18"/>
          <w:szCs w:val="20"/>
        </w:rPr>
      </w:pPr>
      <w:r w:rsidRPr="004405F4">
        <w:rPr>
          <w:rFonts w:ascii="Arial" w:hAnsi="Arial" w:cs="Arial"/>
          <w:sz w:val="18"/>
          <w:szCs w:val="20"/>
        </w:rPr>
        <w:t xml:space="preserve">Authors should ideally submit their manuscripts online at the </w:t>
      </w:r>
      <w:r w:rsidR="0030196E">
        <w:rPr>
          <w:rFonts w:ascii="Arial" w:hAnsi="Arial" w:cs="Arial"/>
          <w:sz w:val="18"/>
          <w:szCs w:val="20"/>
        </w:rPr>
        <w:t>website (</w:t>
      </w:r>
      <w:hyperlink r:id="rId9" w:history="1">
        <w:r w:rsidR="00FF0438" w:rsidRPr="00FF0438">
          <w:rPr>
            <w:rFonts w:ascii="Arial" w:hAnsi="Arial" w:cs="Arial"/>
            <w:sz w:val="18"/>
            <w:szCs w:val="20"/>
          </w:rPr>
          <w:t>ju.se/pfam27</w:t>
        </w:r>
      </w:hyperlink>
      <w:r w:rsidR="0030196E">
        <w:rPr>
          <w:rFonts w:ascii="Arial" w:hAnsi="Arial" w:cs="Arial"/>
          <w:sz w:val="18"/>
          <w:szCs w:val="20"/>
        </w:rPr>
        <w:t>)</w:t>
      </w:r>
      <w:r w:rsidR="00FB42F9">
        <w:rPr>
          <w:rFonts w:ascii="Arial" w:hAnsi="Arial" w:cs="Arial"/>
          <w:sz w:val="18"/>
          <w:szCs w:val="20"/>
        </w:rPr>
        <w:t>. u</w:t>
      </w:r>
      <w:r w:rsidRPr="004405F4">
        <w:rPr>
          <w:rFonts w:ascii="Arial" w:hAnsi="Arial" w:cs="Arial"/>
          <w:sz w:val="18"/>
          <w:szCs w:val="20"/>
        </w:rPr>
        <w:t xml:space="preserve">sing </w:t>
      </w:r>
      <w:r w:rsidR="00FB42F9">
        <w:rPr>
          <w:rFonts w:ascii="Arial" w:hAnsi="Arial" w:cs="Arial"/>
          <w:sz w:val="18"/>
          <w:szCs w:val="20"/>
        </w:rPr>
        <w:t xml:space="preserve">the easychair account </w:t>
      </w:r>
      <w:r w:rsidRPr="004405F4">
        <w:rPr>
          <w:rFonts w:ascii="Arial" w:hAnsi="Arial" w:cs="Arial"/>
          <w:sz w:val="18"/>
          <w:szCs w:val="20"/>
        </w:rPr>
        <w:t>created at the abstract submission stage. However,</w:t>
      </w:r>
      <w:r w:rsidR="00530205">
        <w:rPr>
          <w:rFonts w:ascii="Arial" w:hAnsi="Arial" w:cs="Arial"/>
          <w:sz w:val="18"/>
          <w:szCs w:val="20"/>
        </w:rPr>
        <w:t xml:space="preserve">qusteions on the system and conference is best managed by sending an email to the </w:t>
      </w:r>
      <w:r w:rsidR="007F2C9F">
        <w:rPr>
          <w:rFonts w:ascii="Arial" w:hAnsi="Arial" w:cs="Arial"/>
          <w:sz w:val="18"/>
          <w:szCs w:val="20"/>
        </w:rPr>
        <w:t>conference secretariat at pfam</w:t>
      </w:r>
      <w:r w:rsidR="005437FD">
        <w:rPr>
          <w:rFonts w:ascii="Arial" w:hAnsi="Arial" w:cs="Arial"/>
          <w:sz w:val="18"/>
          <w:szCs w:val="20"/>
        </w:rPr>
        <w:t>27</w:t>
      </w:r>
      <w:r w:rsidR="007F2C9F">
        <w:rPr>
          <w:rFonts w:ascii="Arial" w:hAnsi="Arial" w:cs="Arial"/>
          <w:sz w:val="18"/>
          <w:szCs w:val="20"/>
        </w:rPr>
        <w:t>@ju.se</w:t>
      </w:r>
      <w:r w:rsidR="00734E3A" w:rsidRPr="004405F4">
        <w:rPr>
          <w:rFonts w:ascii="Arial" w:hAnsi="Arial" w:cs="Arial"/>
          <w:sz w:val="18"/>
          <w:szCs w:val="20"/>
        </w:rPr>
        <w:t xml:space="preserve">. </w:t>
      </w:r>
    </w:p>
    <w:p w14:paraId="582A2F88" w14:textId="5A1688FF" w:rsidR="00B56DA3" w:rsidRPr="00B56DA3" w:rsidRDefault="00C958A4" w:rsidP="00B56DA3">
      <w:pPr>
        <w:spacing w:after="120" w:line="276" w:lineRule="auto"/>
        <w:jc w:val="both"/>
        <w:rPr>
          <w:rFonts w:ascii="Arial" w:hAnsi="Arial" w:cs="Arial"/>
          <w:sz w:val="18"/>
          <w:szCs w:val="20"/>
        </w:rPr>
      </w:pPr>
      <w:r w:rsidRPr="004405F4">
        <w:rPr>
          <w:rFonts w:ascii="Arial" w:hAnsi="Arial" w:cs="Arial"/>
          <w:sz w:val="18"/>
          <w:szCs w:val="20"/>
        </w:rPr>
        <w:t xml:space="preserve">The </w:t>
      </w:r>
      <w:r w:rsidRPr="00390383">
        <w:rPr>
          <w:rFonts w:ascii="Arial" w:hAnsi="Arial" w:cs="Arial"/>
          <w:b/>
          <w:sz w:val="18"/>
          <w:szCs w:val="20"/>
        </w:rPr>
        <w:t>deadline</w:t>
      </w:r>
      <w:r w:rsidRPr="004405F4">
        <w:rPr>
          <w:rFonts w:ascii="Arial" w:hAnsi="Arial" w:cs="Arial"/>
          <w:sz w:val="18"/>
          <w:szCs w:val="20"/>
        </w:rPr>
        <w:t xml:space="preserve"> for submission of </w:t>
      </w:r>
      <w:r w:rsidR="00467DFC">
        <w:rPr>
          <w:rFonts w:ascii="Arial" w:hAnsi="Arial" w:cs="Arial"/>
          <w:sz w:val="18"/>
          <w:szCs w:val="20"/>
        </w:rPr>
        <w:t>abstracts</w:t>
      </w:r>
      <w:r w:rsidRPr="004405F4">
        <w:rPr>
          <w:rFonts w:ascii="Arial" w:hAnsi="Arial" w:cs="Arial"/>
          <w:sz w:val="18"/>
          <w:szCs w:val="20"/>
        </w:rPr>
        <w:t xml:space="preserve"> is </w:t>
      </w:r>
      <w:r w:rsidRPr="00390383">
        <w:rPr>
          <w:rFonts w:ascii="Arial" w:hAnsi="Arial" w:cs="Arial"/>
          <w:b/>
          <w:sz w:val="18"/>
          <w:szCs w:val="20"/>
        </w:rPr>
        <w:t xml:space="preserve">1st </w:t>
      </w:r>
      <w:r w:rsidR="00390383" w:rsidRPr="00390383">
        <w:rPr>
          <w:rFonts w:ascii="Arial" w:hAnsi="Arial" w:cs="Arial"/>
          <w:b/>
          <w:sz w:val="18"/>
          <w:szCs w:val="20"/>
        </w:rPr>
        <w:t>December</w:t>
      </w:r>
      <w:r w:rsidRPr="00390383">
        <w:rPr>
          <w:rFonts w:ascii="Arial" w:hAnsi="Arial" w:cs="Arial"/>
          <w:b/>
          <w:sz w:val="18"/>
          <w:szCs w:val="20"/>
        </w:rPr>
        <w:t xml:space="preserve"> 201</w:t>
      </w:r>
      <w:r w:rsidR="00734E3A" w:rsidRPr="00390383">
        <w:rPr>
          <w:rFonts w:ascii="Arial" w:hAnsi="Arial" w:cs="Arial"/>
          <w:b/>
          <w:sz w:val="18"/>
          <w:szCs w:val="20"/>
        </w:rPr>
        <w:t>8</w:t>
      </w:r>
      <w:r w:rsidR="00B56DA3">
        <w:rPr>
          <w:rFonts w:ascii="Arial" w:hAnsi="Arial" w:cs="Arial"/>
          <w:sz w:val="18"/>
          <w:szCs w:val="20"/>
        </w:rPr>
        <w:t xml:space="preserve"> with the n</w:t>
      </w:r>
      <w:r w:rsidR="00B56DA3" w:rsidRPr="00B56DA3">
        <w:rPr>
          <w:rFonts w:ascii="Arial" w:hAnsi="Arial" w:cs="Arial"/>
          <w:sz w:val="18"/>
          <w:szCs w:val="20"/>
        </w:rPr>
        <w:t>otification of acceptance of abstract: 10 January 2019</w:t>
      </w:r>
    </w:p>
    <w:p w14:paraId="52D982C6" w14:textId="779BB9AA" w:rsidR="00B56DA3" w:rsidRPr="00467DFC" w:rsidRDefault="00B56DA3" w:rsidP="00B56DA3">
      <w:pPr>
        <w:spacing w:after="120" w:line="276" w:lineRule="auto"/>
        <w:jc w:val="both"/>
        <w:rPr>
          <w:rFonts w:ascii="Arial" w:hAnsi="Arial" w:cs="Arial"/>
          <w:b/>
          <w:sz w:val="18"/>
          <w:szCs w:val="20"/>
        </w:rPr>
      </w:pPr>
      <w:r w:rsidRPr="00467DFC">
        <w:rPr>
          <w:rFonts w:ascii="Arial" w:hAnsi="Arial" w:cs="Arial"/>
          <w:b/>
          <w:sz w:val="18"/>
          <w:szCs w:val="20"/>
        </w:rPr>
        <w:t>Full paper submission</w:t>
      </w:r>
      <w:r w:rsidR="00467DFC" w:rsidRPr="00467DFC">
        <w:rPr>
          <w:rFonts w:ascii="Arial" w:hAnsi="Arial" w:cs="Arial"/>
          <w:b/>
          <w:sz w:val="18"/>
          <w:szCs w:val="20"/>
        </w:rPr>
        <w:t xml:space="preserve"> deadline is </w:t>
      </w:r>
      <w:r w:rsidRPr="00467DFC">
        <w:rPr>
          <w:rFonts w:ascii="Arial" w:hAnsi="Arial" w:cs="Arial"/>
          <w:b/>
          <w:sz w:val="18"/>
          <w:szCs w:val="20"/>
        </w:rPr>
        <w:t>30 March 2019</w:t>
      </w:r>
    </w:p>
    <w:p w14:paraId="5BFD1197" w14:textId="77777777" w:rsidR="00625A25" w:rsidRPr="004405F4" w:rsidRDefault="00625A25" w:rsidP="00625A25">
      <w:pPr>
        <w:spacing w:after="120" w:line="276" w:lineRule="auto"/>
        <w:contextualSpacing/>
        <w:jc w:val="both"/>
        <w:rPr>
          <w:rFonts w:ascii="Arial" w:hAnsi="Arial" w:cs="Arial"/>
          <w:sz w:val="18"/>
          <w:szCs w:val="20"/>
        </w:rPr>
      </w:pPr>
    </w:p>
    <w:p w14:paraId="1698A9CC" w14:textId="77777777" w:rsidR="00C958A4" w:rsidRPr="00734E3A" w:rsidRDefault="00C958A4" w:rsidP="00625A25">
      <w:pPr>
        <w:spacing w:after="120" w:line="276" w:lineRule="auto"/>
        <w:contextualSpacing/>
        <w:jc w:val="both"/>
        <w:rPr>
          <w:rFonts w:ascii="Arial" w:hAnsi="Arial" w:cs="Arial"/>
          <w:b/>
          <w:sz w:val="28"/>
          <w:szCs w:val="20"/>
        </w:rPr>
      </w:pPr>
      <w:r w:rsidRPr="00734E3A">
        <w:rPr>
          <w:rFonts w:ascii="Arial" w:hAnsi="Arial" w:cs="Arial"/>
          <w:b/>
          <w:sz w:val="28"/>
          <w:szCs w:val="20"/>
        </w:rPr>
        <w:t>Acknowledgements</w:t>
      </w:r>
    </w:p>
    <w:p w14:paraId="79B6A5B6" w14:textId="77777777" w:rsidR="00C958A4" w:rsidRPr="004405F4" w:rsidRDefault="00C958A4" w:rsidP="00625A25">
      <w:pPr>
        <w:spacing w:after="120" w:line="276" w:lineRule="auto"/>
        <w:jc w:val="both"/>
        <w:rPr>
          <w:rFonts w:ascii="Arial" w:hAnsi="Arial" w:cs="Arial"/>
          <w:sz w:val="18"/>
          <w:szCs w:val="20"/>
        </w:rPr>
      </w:pPr>
      <w:r w:rsidRPr="004405F4">
        <w:rPr>
          <w:rFonts w:ascii="Arial" w:hAnsi="Arial" w:cs="Arial"/>
          <w:sz w:val="18"/>
          <w:szCs w:val="20"/>
        </w:rPr>
        <w:t>Brief acknowledgements may be included. Note that the heading should not be numbered.</w:t>
      </w:r>
    </w:p>
    <w:p w14:paraId="6F003691" w14:textId="77777777" w:rsidR="00C958A4" w:rsidRPr="004405F4" w:rsidRDefault="00C958A4" w:rsidP="00625A25">
      <w:pPr>
        <w:spacing w:after="120" w:line="276" w:lineRule="auto"/>
        <w:contextualSpacing/>
        <w:jc w:val="both"/>
        <w:rPr>
          <w:rFonts w:ascii="Arial" w:hAnsi="Arial" w:cs="Arial"/>
          <w:sz w:val="18"/>
          <w:szCs w:val="20"/>
        </w:rPr>
      </w:pPr>
    </w:p>
    <w:p w14:paraId="763A57D3" w14:textId="77777777" w:rsidR="00C958A4" w:rsidRPr="00734E3A" w:rsidRDefault="00C958A4" w:rsidP="00625A25">
      <w:pPr>
        <w:spacing w:after="120" w:line="276" w:lineRule="auto"/>
        <w:contextualSpacing/>
        <w:jc w:val="both"/>
        <w:rPr>
          <w:rFonts w:ascii="Arial" w:hAnsi="Arial" w:cs="Arial"/>
          <w:b/>
          <w:sz w:val="28"/>
          <w:szCs w:val="20"/>
        </w:rPr>
      </w:pPr>
      <w:r w:rsidRPr="00734E3A">
        <w:rPr>
          <w:rFonts w:ascii="Arial" w:hAnsi="Arial" w:cs="Arial"/>
          <w:b/>
          <w:sz w:val="28"/>
          <w:szCs w:val="20"/>
        </w:rPr>
        <w:t>References</w:t>
      </w:r>
    </w:p>
    <w:p w14:paraId="3748434C" w14:textId="01180CBD" w:rsidR="00C958A4" w:rsidRDefault="00C958A4" w:rsidP="00625A25">
      <w:pPr>
        <w:spacing w:after="120" w:line="276" w:lineRule="auto"/>
        <w:contextualSpacing/>
        <w:jc w:val="both"/>
        <w:rPr>
          <w:rFonts w:ascii="Arial" w:hAnsi="Arial" w:cs="Arial"/>
          <w:sz w:val="18"/>
          <w:szCs w:val="20"/>
        </w:rPr>
      </w:pPr>
      <w:r w:rsidRPr="004405F4">
        <w:rPr>
          <w:rFonts w:ascii="Arial" w:hAnsi="Arial" w:cs="Arial"/>
          <w:sz w:val="18"/>
          <w:szCs w:val="20"/>
        </w:rPr>
        <w:t>[References should be provided in a numbered list in the order in which they are cited in the body of the manuscript. The list should have single line spacing, with no space before or after, and should be fully justified (i.e. on both left- and right-hand sides). The style of references should be as follows</w:t>
      </w:r>
      <w:r w:rsidR="000E7E4F">
        <w:rPr>
          <w:rFonts w:ascii="Arial" w:hAnsi="Arial" w:cs="Arial"/>
          <w:sz w:val="18"/>
          <w:szCs w:val="20"/>
        </w:rPr>
        <w:t>. Imp</w:t>
      </w:r>
      <w:r w:rsidR="00651794">
        <w:rPr>
          <w:rFonts w:ascii="Arial" w:hAnsi="Arial" w:cs="Arial"/>
          <w:sz w:val="18"/>
          <w:szCs w:val="20"/>
        </w:rPr>
        <w:t xml:space="preserve">ortant </w:t>
      </w:r>
      <w:r w:rsidR="00641819">
        <w:rPr>
          <w:rFonts w:ascii="Arial" w:hAnsi="Arial" w:cs="Arial"/>
          <w:sz w:val="18"/>
          <w:szCs w:val="20"/>
        </w:rPr>
        <w:t>is to follow the IEEE formatting as shown below</w:t>
      </w:r>
      <w:r w:rsidRPr="004405F4">
        <w:rPr>
          <w:rFonts w:ascii="Arial" w:hAnsi="Arial" w:cs="Arial"/>
          <w:sz w:val="18"/>
          <w:szCs w:val="20"/>
        </w:rPr>
        <w:t>]</w:t>
      </w:r>
    </w:p>
    <w:p w14:paraId="12AD5421" w14:textId="77777777" w:rsidR="00641819" w:rsidRDefault="00641819" w:rsidP="00625A25">
      <w:pPr>
        <w:spacing w:after="120" w:line="276" w:lineRule="auto"/>
        <w:contextualSpacing/>
        <w:jc w:val="both"/>
        <w:rPr>
          <w:rFonts w:ascii="Arial" w:hAnsi="Arial" w:cs="Arial"/>
          <w:sz w:val="18"/>
          <w:szCs w:val="20"/>
        </w:rPr>
      </w:pPr>
    </w:p>
    <w:p w14:paraId="5CB896FB" w14:textId="099C3403" w:rsidR="000E7E4F" w:rsidRPr="000E7E4F" w:rsidRDefault="000E7E4F" w:rsidP="000E7E4F">
      <w:pPr>
        <w:widowControl w:val="0"/>
        <w:autoSpaceDE w:val="0"/>
        <w:autoSpaceDN w:val="0"/>
        <w:adjustRightInd w:val="0"/>
        <w:spacing w:after="120" w:line="240" w:lineRule="auto"/>
        <w:ind w:left="640" w:hanging="640"/>
        <w:rPr>
          <w:rFonts w:ascii="Arial" w:hAnsi="Arial" w:cs="Arial"/>
          <w:noProof/>
          <w:sz w:val="18"/>
          <w:szCs w:val="24"/>
        </w:rPr>
      </w:pPr>
      <w:r>
        <w:rPr>
          <w:rFonts w:ascii="Arial" w:hAnsi="Arial" w:cs="Arial"/>
          <w:sz w:val="18"/>
          <w:szCs w:val="20"/>
        </w:rPr>
        <w:fldChar w:fldCharType="begin" w:fldLock="1"/>
      </w:r>
      <w:r>
        <w:rPr>
          <w:rFonts w:ascii="Arial" w:hAnsi="Arial" w:cs="Arial"/>
          <w:sz w:val="18"/>
          <w:szCs w:val="20"/>
        </w:rPr>
        <w:instrText xml:space="preserve">ADDIN Mendeley Bibliography CSL_BIBLIOGRAPHY </w:instrText>
      </w:r>
      <w:r>
        <w:rPr>
          <w:rFonts w:ascii="Arial" w:hAnsi="Arial" w:cs="Arial"/>
          <w:sz w:val="18"/>
          <w:szCs w:val="20"/>
        </w:rPr>
        <w:fldChar w:fldCharType="separate"/>
      </w:r>
      <w:r w:rsidRPr="000E7E4F">
        <w:rPr>
          <w:rFonts w:ascii="Arial" w:hAnsi="Arial" w:cs="Arial"/>
          <w:noProof/>
          <w:sz w:val="18"/>
          <w:szCs w:val="24"/>
        </w:rPr>
        <w:t>[1]</w:t>
      </w:r>
      <w:r w:rsidRPr="000E7E4F">
        <w:rPr>
          <w:rFonts w:ascii="Arial" w:hAnsi="Arial" w:cs="Arial"/>
          <w:noProof/>
          <w:sz w:val="18"/>
          <w:szCs w:val="24"/>
        </w:rPr>
        <w:tab/>
        <w:t xml:space="preserve">A. Jarfors, S. Castagne, A. Danno, and X. Zhang, “Tool Wear and Life Span Variations in Cold Forming Operations and Their Implications in Microforming,” </w:t>
      </w:r>
      <w:r w:rsidRPr="000E7E4F">
        <w:rPr>
          <w:rFonts w:ascii="Arial" w:hAnsi="Arial" w:cs="Arial"/>
          <w:i/>
          <w:iCs/>
          <w:noProof/>
          <w:sz w:val="18"/>
          <w:szCs w:val="24"/>
        </w:rPr>
        <w:t>Technologies</w:t>
      </w:r>
      <w:r w:rsidRPr="000E7E4F">
        <w:rPr>
          <w:rFonts w:ascii="Arial" w:hAnsi="Arial" w:cs="Arial"/>
          <w:noProof/>
          <w:sz w:val="18"/>
          <w:szCs w:val="24"/>
        </w:rPr>
        <w:t>, 2016.</w:t>
      </w:r>
    </w:p>
    <w:p w14:paraId="3084F6F9" w14:textId="77777777" w:rsidR="000E7E4F" w:rsidRPr="000E7E4F" w:rsidRDefault="000E7E4F" w:rsidP="000E7E4F">
      <w:pPr>
        <w:widowControl w:val="0"/>
        <w:autoSpaceDE w:val="0"/>
        <w:autoSpaceDN w:val="0"/>
        <w:adjustRightInd w:val="0"/>
        <w:spacing w:after="120" w:line="240" w:lineRule="auto"/>
        <w:ind w:left="640" w:hanging="640"/>
        <w:rPr>
          <w:rFonts w:ascii="Arial" w:hAnsi="Arial" w:cs="Arial"/>
          <w:noProof/>
          <w:sz w:val="18"/>
          <w:szCs w:val="24"/>
        </w:rPr>
      </w:pPr>
      <w:r w:rsidRPr="000E7E4F">
        <w:rPr>
          <w:rFonts w:ascii="Arial" w:hAnsi="Arial" w:cs="Arial"/>
          <w:noProof/>
          <w:sz w:val="18"/>
          <w:szCs w:val="24"/>
        </w:rPr>
        <w:t>[2]</w:t>
      </w:r>
      <w:r w:rsidRPr="000E7E4F">
        <w:rPr>
          <w:rFonts w:ascii="Arial" w:hAnsi="Arial" w:cs="Arial"/>
          <w:noProof/>
          <w:sz w:val="18"/>
          <w:szCs w:val="24"/>
        </w:rPr>
        <w:tab/>
        <w:t xml:space="preserve">M. Payandeh, I. Belov, A. E. W. Jarfors, and M. Wessén, “Effect of Material Inhomogeneity on Thermal Performance of a Rheocast Aluminum Heatsink for Electronics Cooling,” </w:t>
      </w:r>
      <w:r w:rsidRPr="000E7E4F">
        <w:rPr>
          <w:rFonts w:ascii="Arial" w:hAnsi="Arial" w:cs="Arial"/>
          <w:i/>
          <w:iCs/>
          <w:noProof/>
          <w:sz w:val="18"/>
          <w:szCs w:val="24"/>
        </w:rPr>
        <w:t>J. Mater. Eng. Perform.</w:t>
      </w:r>
      <w:r w:rsidRPr="000E7E4F">
        <w:rPr>
          <w:rFonts w:ascii="Arial" w:hAnsi="Arial" w:cs="Arial"/>
          <w:noProof/>
          <w:sz w:val="18"/>
          <w:szCs w:val="24"/>
        </w:rPr>
        <w:t>, vol. 25, no. 6, 2016.</w:t>
      </w:r>
    </w:p>
    <w:p w14:paraId="7803757C" w14:textId="77777777" w:rsidR="000E7E4F" w:rsidRPr="000E7E4F" w:rsidRDefault="000E7E4F" w:rsidP="000E7E4F">
      <w:pPr>
        <w:widowControl w:val="0"/>
        <w:autoSpaceDE w:val="0"/>
        <w:autoSpaceDN w:val="0"/>
        <w:adjustRightInd w:val="0"/>
        <w:spacing w:after="120" w:line="240" w:lineRule="auto"/>
        <w:ind w:left="640" w:hanging="640"/>
        <w:rPr>
          <w:rFonts w:ascii="Arial" w:hAnsi="Arial" w:cs="Arial"/>
          <w:noProof/>
          <w:sz w:val="18"/>
          <w:szCs w:val="24"/>
        </w:rPr>
      </w:pPr>
      <w:r w:rsidRPr="000E7E4F">
        <w:rPr>
          <w:rFonts w:ascii="Arial" w:hAnsi="Arial" w:cs="Arial"/>
          <w:noProof/>
          <w:sz w:val="18"/>
          <w:szCs w:val="24"/>
        </w:rPr>
        <w:t>[3]</w:t>
      </w:r>
      <w:r w:rsidRPr="000E7E4F">
        <w:rPr>
          <w:rFonts w:ascii="Arial" w:hAnsi="Arial" w:cs="Arial"/>
          <w:noProof/>
          <w:sz w:val="18"/>
          <w:szCs w:val="24"/>
        </w:rPr>
        <w:tab/>
        <w:t xml:space="preserve">M. Zamani, S. Seifeddine, and A. E. W. W. A. E. W. Jarfors, “High temperature tensile deformation behavior and failure mechanisms of an Al–Si–Cu–Mg cast alloy — The microstructural scale effect,” </w:t>
      </w:r>
      <w:r w:rsidRPr="000E7E4F">
        <w:rPr>
          <w:rFonts w:ascii="Arial" w:hAnsi="Arial" w:cs="Arial"/>
          <w:i/>
          <w:iCs/>
          <w:noProof/>
          <w:sz w:val="18"/>
          <w:szCs w:val="24"/>
        </w:rPr>
        <w:t>Mater. Des.</w:t>
      </w:r>
      <w:r w:rsidRPr="000E7E4F">
        <w:rPr>
          <w:rFonts w:ascii="Arial" w:hAnsi="Arial" w:cs="Arial"/>
          <w:noProof/>
          <w:sz w:val="18"/>
          <w:szCs w:val="24"/>
        </w:rPr>
        <w:t>, vol. 86, pp. 361–370, 2015.</w:t>
      </w:r>
    </w:p>
    <w:p w14:paraId="37BF1DBE" w14:textId="77777777" w:rsidR="000E7E4F" w:rsidRPr="000E7E4F" w:rsidRDefault="000E7E4F" w:rsidP="000E7E4F">
      <w:pPr>
        <w:widowControl w:val="0"/>
        <w:autoSpaceDE w:val="0"/>
        <w:autoSpaceDN w:val="0"/>
        <w:adjustRightInd w:val="0"/>
        <w:spacing w:after="120" w:line="240" w:lineRule="auto"/>
        <w:ind w:left="640" w:hanging="640"/>
        <w:rPr>
          <w:rFonts w:ascii="Arial" w:hAnsi="Arial" w:cs="Arial"/>
          <w:noProof/>
          <w:sz w:val="18"/>
          <w:szCs w:val="24"/>
        </w:rPr>
      </w:pPr>
      <w:r w:rsidRPr="000E7E4F">
        <w:rPr>
          <w:rFonts w:ascii="Arial" w:hAnsi="Arial" w:cs="Arial"/>
          <w:noProof/>
          <w:sz w:val="18"/>
          <w:szCs w:val="24"/>
        </w:rPr>
        <w:t>[4]</w:t>
      </w:r>
      <w:r w:rsidRPr="000E7E4F">
        <w:rPr>
          <w:rFonts w:ascii="Arial" w:hAnsi="Arial" w:cs="Arial"/>
          <w:noProof/>
          <w:sz w:val="18"/>
          <w:szCs w:val="24"/>
        </w:rPr>
        <w:tab/>
        <w:t xml:space="preserve">J. Liu </w:t>
      </w:r>
      <w:r w:rsidRPr="000E7E4F">
        <w:rPr>
          <w:rFonts w:ascii="Arial" w:hAnsi="Arial" w:cs="Arial"/>
          <w:i/>
          <w:iCs/>
          <w:noProof/>
          <w:sz w:val="18"/>
          <w:szCs w:val="24"/>
        </w:rPr>
        <w:t>et al.</w:t>
      </w:r>
      <w:r w:rsidRPr="000E7E4F">
        <w:rPr>
          <w:rFonts w:ascii="Arial" w:hAnsi="Arial" w:cs="Arial"/>
          <w:noProof/>
          <w:sz w:val="18"/>
          <w:szCs w:val="24"/>
        </w:rPr>
        <w:t xml:space="preserve">, “Finite element modeling of a non-isothermal superplastic-like forming process,” in </w:t>
      </w:r>
      <w:r w:rsidRPr="000E7E4F">
        <w:rPr>
          <w:rFonts w:ascii="Arial" w:hAnsi="Arial" w:cs="Arial"/>
          <w:i/>
          <w:iCs/>
          <w:noProof/>
          <w:sz w:val="18"/>
          <w:szCs w:val="24"/>
        </w:rPr>
        <w:t>AIP Conference Proceedings</w:t>
      </w:r>
      <w:r w:rsidRPr="000E7E4F">
        <w:rPr>
          <w:rFonts w:ascii="Arial" w:hAnsi="Arial" w:cs="Arial"/>
          <w:noProof/>
          <w:sz w:val="18"/>
          <w:szCs w:val="24"/>
        </w:rPr>
        <w:t>, 2010, vol. 1315.</w:t>
      </w:r>
    </w:p>
    <w:p w14:paraId="39E4DA11" w14:textId="77777777" w:rsidR="000E7E4F" w:rsidRPr="000E7E4F" w:rsidRDefault="000E7E4F" w:rsidP="000E7E4F">
      <w:pPr>
        <w:widowControl w:val="0"/>
        <w:autoSpaceDE w:val="0"/>
        <w:autoSpaceDN w:val="0"/>
        <w:adjustRightInd w:val="0"/>
        <w:spacing w:after="120" w:line="240" w:lineRule="auto"/>
        <w:ind w:left="640" w:hanging="640"/>
        <w:rPr>
          <w:rFonts w:ascii="Arial" w:hAnsi="Arial" w:cs="Arial"/>
          <w:noProof/>
          <w:sz w:val="18"/>
          <w:szCs w:val="24"/>
        </w:rPr>
      </w:pPr>
      <w:r w:rsidRPr="000E7E4F">
        <w:rPr>
          <w:rFonts w:ascii="Arial" w:hAnsi="Arial" w:cs="Arial"/>
          <w:noProof/>
          <w:sz w:val="18"/>
          <w:szCs w:val="24"/>
        </w:rPr>
        <w:t>[5]</w:t>
      </w:r>
      <w:r w:rsidRPr="000E7E4F">
        <w:rPr>
          <w:rFonts w:ascii="Arial" w:hAnsi="Arial" w:cs="Arial"/>
          <w:noProof/>
          <w:sz w:val="18"/>
          <w:szCs w:val="24"/>
        </w:rPr>
        <w:tab/>
        <w:t xml:space="preserve">H. Dini, A. Svoboda, N.-E. Andersson, E. Ghassemali, L.-E. Lindgren, and A. E. W. Jarfors, “Optimization and validation of a dislocation density based constitutive model for as-cast Mg-9%Al-1%Zn,” </w:t>
      </w:r>
      <w:r w:rsidRPr="000E7E4F">
        <w:rPr>
          <w:rFonts w:ascii="Arial" w:hAnsi="Arial" w:cs="Arial"/>
          <w:i/>
          <w:iCs/>
          <w:noProof/>
          <w:sz w:val="18"/>
          <w:szCs w:val="24"/>
        </w:rPr>
        <w:t>Mater. Sci. Eng. A</w:t>
      </w:r>
      <w:r w:rsidRPr="000E7E4F">
        <w:rPr>
          <w:rFonts w:ascii="Arial" w:hAnsi="Arial" w:cs="Arial"/>
          <w:noProof/>
          <w:sz w:val="18"/>
          <w:szCs w:val="24"/>
        </w:rPr>
        <w:t>, vol. 710, 2018.</w:t>
      </w:r>
    </w:p>
    <w:p w14:paraId="1B8E8210" w14:textId="77777777" w:rsidR="000E7E4F" w:rsidRPr="000E7E4F" w:rsidRDefault="000E7E4F" w:rsidP="000E7E4F">
      <w:pPr>
        <w:widowControl w:val="0"/>
        <w:autoSpaceDE w:val="0"/>
        <w:autoSpaceDN w:val="0"/>
        <w:adjustRightInd w:val="0"/>
        <w:spacing w:after="120" w:line="240" w:lineRule="auto"/>
        <w:ind w:left="640" w:hanging="640"/>
        <w:rPr>
          <w:rFonts w:ascii="Arial" w:hAnsi="Arial" w:cs="Arial"/>
          <w:noProof/>
          <w:sz w:val="18"/>
        </w:rPr>
      </w:pPr>
      <w:r w:rsidRPr="000E7E4F">
        <w:rPr>
          <w:rFonts w:ascii="Arial" w:hAnsi="Arial" w:cs="Arial"/>
          <w:noProof/>
          <w:sz w:val="18"/>
          <w:szCs w:val="24"/>
        </w:rPr>
        <w:t>[6]</w:t>
      </w:r>
      <w:r w:rsidRPr="000E7E4F">
        <w:rPr>
          <w:rFonts w:ascii="Arial" w:hAnsi="Arial" w:cs="Arial"/>
          <w:noProof/>
          <w:sz w:val="18"/>
          <w:szCs w:val="24"/>
        </w:rPr>
        <w:tab/>
        <w:t xml:space="preserve">M. Paramsothy, J. Chan, R. Kwok, and M. Gupta, “Enhanced mechanical response of magnesium alloy ZK60A containing Si3N4 nanoparticles,” </w:t>
      </w:r>
      <w:r w:rsidRPr="000E7E4F">
        <w:rPr>
          <w:rFonts w:ascii="Arial" w:hAnsi="Arial" w:cs="Arial"/>
          <w:i/>
          <w:iCs/>
          <w:noProof/>
          <w:sz w:val="18"/>
          <w:szCs w:val="24"/>
        </w:rPr>
        <w:t>Compos. Part A Appl. Sci. Manuf.</w:t>
      </w:r>
      <w:r w:rsidRPr="000E7E4F">
        <w:rPr>
          <w:rFonts w:ascii="Arial" w:hAnsi="Arial" w:cs="Arial"/>
          <w:noProof/>
          <w:sz w:val="18"/>
          <w:szCs w:val="24"/>
        </w:rPr>
        <w:t>, vol. 42, no. 12, pp. 2093–2100, 2011.</w:t>
      </w:r>
    </w:p>
    <w:p w14:paraId="48E8F830" w14:textId="5A39EFAC" w:rsidR="00C958A4" w:rsidRPr="004405F4" w:rsidRDefault="000E7E4F" w:rsidP="000E7E4F">
      <w:pPr>
        <w:spacing w:after="120" w:line="276" w:lineRule="auto"/>
        <w:contextualSpacing/>
        <w:jc w:val="both"/>
        <w:rPr>
          <w:rFonts w:ascii="Arial" w:hAnsi="Arial" w:cs="Arial"/>
          <w:sz w:val="18"/>
          <w:szCs w:val="20"/>
        </w:rPr>
      </w:pPr>
      <w:r>
        <w:rPr>
          <w:rFonts w:ascii="Arial" w:hAnsi="Arial" w:cs="Arial"/>
          <w:sz w:val="18"/>
          <w:szCs w:val="20"/>
        </w:rPr>
        <w:fldChar w:fldCharType="end"/>
      </w:r>
    </w:p>
    <w:p w14:paraId="2C861E55" w14:textId="77777777" w:rsidR="00C958A4" w:rsidRPr="00A475D3" w:rsidRDefault="00C958A4" w:rsidP="00625A25">
      <w:pPr>
        <w:spacing w:after="120" w:line="276" w:lineRule="auto"/>
        <w:contextualSpacing/>
        <w:jc w:val="both"/>
        <w:rPr>
          <w:rFonts w:ascii="Arial" w:hAnsi="Arial" w:cs="Arial"/>
          <w:sz w:val="20"/>
          <w:szCs w:val="20"/>
        </w:rPr>
      </w:pPr>
    </w:p>
    <w:sectPr w:rsidR="00C958A4" w:rsidRPr="00A475D3" w:rsidSect="00D36C3D">
      <w:headerReference w:type="default" r:id="rId10"/>
      <w:pgSz w:w="10318" w:h="14570" w:code="13"/>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D1DA1" w14:textId="77777777" w:rsidR="00E83CE5" w:rsidRDefault="00E83CE5" w:rsidP="00DE6B37">
      <w:pPr>
        <w:spacing w:after="0" w:line="240" w:lineRule="auto"/>
      </w:pPr>
      <w:r>
        <w:separator/>
      </w:r>
    </w:p>
  </w:endnote>
  <w:endnote w:type="continuationSeparator" w:id="0">
    <w:p w14:paraId="35B7D4D8" w14:textId="77777777" w:rsidR="00E83CE5" w:rsidRDefault="00E83CE5" w:rsidP="00DE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32EF1" w14:textId="77777777" w:rsidR="00E83CE5" w:rsidRDefault="00E83CE5" w:rsidP="00DE6B37">
      <w:pPr>
        <w:spacing w:after="0" w:line="240" w:lineRule="auto"/>
      </w:pPr>
      <w:r>
        <w:separator/>
      </w:r>
    </w:p>
  </w:footnote>
  <w:footnote w:type="continuationSeparator" w:id="0">
    <w:p w14:paraId="3B4C3D4D" w14:textId="77777777" w:rsidR="00E83CE5" w:rsidRDefault="00E83CE5" w:rsidP="00DE6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4"/>
      <w:gridCol w:w="3714"/>
    </w:tblGrid>
    <w:tr w:rsidR="007707C2" w:rsidRPr="007707C2" w14:paraId="615BB736" w14:textId="77777777" w:rsidTr="007707C2">
      <w:tc>
        <w:tcPr>
          <w:tcW w:w="7428" w:type="dxa"/>
          <w:gridSpan w:val="2"/>
        </w:tcPr>
        <w:p w14:paraId="23C1EADC" w14:textId="2DBCB26F" w:rsidR="007707C2" w:rsidRPr="007707C2" w:rsidRDefault="007707C2" w:rsidP="007707C2">
          <w:pPr>
            <w:pStyle w:val="Header"/>
            <w:jc w:val="center"/>
            <w:rPr>
              <w:rFonts w:ascii="Arial" w:hAnsi="Arial" w:cs="Arial"/>
              <w:i/>
              <w:color w:val="808080" w:themeColor="background1" w:themeShade="80"/>
            </w:rPr>
          </w:pPr>
          <w:r w:rsidRPr="007707C2">
            <w:rPr>
              <w:rFonts w:ascii="Arial" w:hAnsi="Arial" w:cs="Arial"/>
              <w:i/>
              <w:color w:val="808080" w:themeColor="background1" w:themeShade="80"/>
            </w:rPr>
            <w:t>Processing and Fabrication of Advance Materials XXVII</w:t>
          </w:r>
        </w:p>
      </w:tc>
    </w:tr>
    <w:tr w:rsidR="007707C2" w:rsidRPr="007707C2" w14:paraId="3F8E5928" w14:textId="77777777" w:rsidTr="007707C2">
      <w:tc>
        <w:tcPr>
          <w:tcW w:w="3714" w:type="dxa"/>
        </w:tcPr>
        <w:p w14:paraId="169082CA" w14:textId="7F68630D" w:rsidR="007707C2" w:rsidRPr="007707C2" w:rsidRDefault="007707C2" w:rsidP="007707C2">
          <w:pPr>
            <w:pStyle w:val="Header"/>
            <w:rPr>
              <w:rFonts w:ascii="Arial" w:hAnsi="Arial" w:cs="Arial"/>
              <w:i/>
              <w:color w:val="808080" w:themeColor="background1" w:themeShade="80"/>
            </w:rPr>
          </w:pPr>
          <w:r w:rsidRPr="007707C2">
            <w:rPr>
              <w:rFonts w:ascii="Arial" w:hAnsi="Arial" w:cs="Arial"/>
              <w:i/>
              <w:color w:val="808080" w:themeColor="background1" w:themeShade="80"/>
            </w:rPr>
            <w:t>Paper XXXX</w:t>
          </w:r>
        </w:p>
      </w:tc>
      <w:tc>
        <w:tcPr>
          <w:tcW w:w="3714" w:type="dxa"/>
        </w:tcPr>
        <w:p w14:paraId="40F62FA3" w14:textId="26020A0B" w:rsidR="007707C2" w:rsidRPr="007707C2" w:rsidRDefault="007707C2" w:rsidP="007707C2">
          <w:pPr>
            <w:pStyle w:val="Header"/>
            <w:jc w:val="right"/>
            <w:rPr>
              <w:i/>
              <w:color w:val="808080" w:themeColor="background1" w:themeShade="80"/>
            </w:rPr>
          </w:pPr>
          <w:r w:rsidRPr="007707C2">
            <w:rPr>
              <w:rFonts w:ascii="Arial" w:hAnsi="Arial" w:cs="Arial"/>
              <w:i/>
              <w:color w:val="808080" w:themeColor="background1" w:themeShade="80"/>
            </w:rPr>
            <w:t>A.B. Author et al.</w:t>
          </w:r>
        </w:p>
      </w:tc>
    </w:tr>
  </w:tbl>
  <w:p w14:paraId="0D2C1D11" w14:textId="1BFC18DA" w:rsidR="00FF29FF" w:rsidRPr="007707C2" w:rsidRDefault="00FF29FF" w:rsidP="007707C2">
    <w:pPr>
      <w:pStyle w:val="Header"/>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C3D"/>
    <w:rsid w:val="000E7E4F"/>
    <w:rsid w:val="00136618"/>
    <w:rsid w:val="0023508E"/>
    <w:rsid w:val="00262B95"/>
    <w:rsid w:val="002E193F"/>
    <w:rsid w:val="0030196E"/>
    <w:rsid w:val="00390383"/>
    <w:rsid w:val="003C2FFB"/>
    <w:rsid w:val="003F48E0"/>
    <w:rsid w:val="00402569"/>
    <w:rsid w:val="004405F4"/>
    <w:rsid w:val="00467DFC"/>
    <w:rsid w:val="004B0718"/>
    <w:rsid w:val="00514D27"/>
    <w:rsid w:val="005223E3"/>
    <w:rsid w:val="00530205"/>
    <w:rsid w:val="005437FD"/>
    <w:rsid w:val="00567008"/>
    <w:rsid w:val="0059280C"/>
    <w:rsid w:val="00625A25"/>
    <w:rsid w:val="00641819"/>
    <w:rsid w:val="00651794"/>
    <w:rsid w:val="006518ED"/>
    <w:rsid w:val="0067290B"/>
    <w:rsid w:val="00734E3A"/>
    <w:rsid w:val="007707C2"/>
    <w:rsid w:val="007F2C9F"/>
    <w:rsid w:val="007F3B72"/>
    <w:rsid w:val="0085080E"/>
    <w:rsid w:val="009352E7"/>
    <w:rsid w:val="009552D2"/>
    <w:rsid w:val="00976035"/>
    <w:rsid w:val="00A21665"/>
    <w:rsid w:val="00A475D3"/>
    <w:rsid w:val="00A6376F"/>
    <w:rsid w:val="00AC7F0E"/>
    <w:rsid w:val="00B56DA3"/>
    <w:rsid w:val="00C860AC"/>
    <w:rsid w:val="00C958A4"/>
    <w:rsid w:val="00D30DBB"/>
    <w:rsid w:val="00D36C3D"/>
    <w:rsid w:val="00DE6B37"/>
    <w:rsid w:val="00E33D86"/>
    <w:rsid w:val="00E83CE5"/>
    <w:rsid w:val="00FB42F9"/>
    <w:rsid w:val="00FC13D7"/>
    <w:rsid w:val="00FC2483"/>
    <w:rsid w:val="00FF0438"/>
    <w:rsid w:val="00FF2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3B69C"/>
  <w15:chartTrackingRefBased/>
  <w15:docId w15:val="{DBD03175-8C3D-4952-87E1-FD3ADAC2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C3D"/>
    <w:pPr>
      <w:ind w:left="720"/>
      <w:contextualSpacing/>
    </w:pPr>
  </w:style>
  <w:style w:type="paragraph" w:styleId="NoSpacing">
    <w:name w:val="No Spacing"/>
    <w:uiPriority w:val="1"/>
    <w:qFormat/>
    <w:rsid w:val="00C958A4"/>
    <w:pPr>
      <w:spacing w:after="0" w:line="240" w:lineRule="auto"/>
    </w:pPr>
  </w:style>
  <w:style w:type="character" w:styleId="Hyperlink">
    <w:name w:val="Hyperlink"/>
    <w:basedOn w:val="DefaultParagraphFont"/>
    <w:uiPriority w:val="99"/>
    <w:unhideWhenUsed/>
    <w:rsid w:val="00734E3A"/>
    <w:rPr>
      <w:color w:val="0563C1" w:themeColor="hyperlink"/>
      <w:u w:val="single"/>
    </w:rPr>
  </w:style>
  <w:style w:type="character" w:customStyle="1" w:styleId="UnresolvedMention1">
    <w:name w:val="Unresolved Mention1"/>
    <w:basedOn w:val="DefaultParagraphFont"/>
    <w:uiPriority w:val="99"/>
    <w:semiHidden/>
    <w:unhideWhenUsed/>
    <w:rsid w:val="00734E3A"/>
    <w:rPr>
      <w:color w:val="808080"/>
      <w:shd w:val="clear" w:color="auto" w:fill="E6E6E6"/>
    </w:rPr>
  </w:style>
  <w:style w:type="paragraph" w:styleId="BalloonText">
    <w:name w:val="Balloon Text"/>
    <w:basedOn w:val="Normal"/>
    <w:link w:val="BalloonTextChar"/>
    <w:uiPriority w:val="99"/>
    <w:semiHidden/>
    <w:unhideWhenUsed/>
    <w:rsid w:val="00625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A25"/>
    <w:rPr>
      <w:rFonts w:ascii="Segoe UI" w:hAnsi="Segoe UI" w:cs="Segoe UI"/>
      <w:sz w:val="18"/>
      <w:szCs w:val="18"/>
    </w:rPr>
  </w:style>
  <w:style w:type="paragraph" w:styleId="Header">
    <w:name w:val="header"/>
    <w:basedOn w:val="Normal"/>
    <w:link w:val="HeaderChar"/>
    <w:uiPriority w:val="99"/>
    <w:unhideWhenUsed/>
    <w:rsid w:val="00DE6B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6B37"/>
  </w:style>
  <w:style w:type="paragraph" w:styleId="Footer">
    <w:name w:val="footer"/>
    <w:basedOn w:val="Normal"/>
    <w:link w:val="FooterChar"/>
    <w:uiPriority w:val="99"/>
    <w:unhideWhenUsed/>
    <w:rsid w:val="00DE6B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6B37"/>
  </w:style>
  <w:style w:type="table" w:styleId="TableGrid">
    <w:name w:val="Table Grid"/>
    <w:basedOn w:val="TableNormal"/>
    <w:uiPriority w:val="39"/>
    <w:rsid w:val="00770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2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ju.se/pfam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23BD27A-58A8-4154-87E8-CF7631E0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3611</Words>
  <Characters>19140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mendis</dc:creator>
  <cp:keywords/>
  <dc:description/>
  <cp:lastModifiedBy>Camilla Hallgren</cp:lastModifiedBy>
  <cp:revision>2</cp:revision>
  <cp:lastPrinted>2018-01-15T13:22:00Z</cp:lastPrinted>
  <dcterms:created xsi:type="dcterms:W3CDTF">2018-06-13T16:28:00Z</dcterms:created>
  <dcterms:modified xsi:type="dcterms:W3CDTF">2018-06-13T16:28:00Z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48c1bd4e-574b-3296-a68d-750594bb1157</vt:lpwstr>
  </property>
</Properties>
</file>